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1F3" w:rsidRPr="002955C5" w:rsidRDefault="00A601F3" w:rsidP="005E5EB6">
      <w:pPr>
        <w:pStyle w:val="ConsPlusNormal"/>
        <w:ind w:left="5670"/>
        <w:outlineLvl w:val="1"/>
        <w:rPr>
          <w:szCs w:val="28"/>
        </w:rPr>
      </w:pPr>
    </w:p>
    <w:p w:rsidR="005E5EB6" w:rsidRPr="002955C5" w:rsidRDefault="005E5EB6" w:rsidP="002955C5">
      <w:pPr>
        <w:pStyle w:val="ConsPlusNormal"/>
        <w:ind w:left="5670"/>
        <w:outlineLvl w:val="1"/>
        <w:rPr>
          <w:szCs w:val="28"/>
        </w:rPr>
      </w:pPr>
      <w:r w:rsidRPr="002955C5">
        <w:rPr>
          <w:szCs w:val="28"/>
        </w:rPr>
        <w:t>Приложение №</w:t>
      </w:r>
      <w:r w:rsidR="002955C5" w:rsidRPr="002955C5">
        <w:rPr>
          <w:szCs w:val="28"/>
        </w:rPr>
        <w:t>2</w:t>
      </w:r>
      <w:r w:rsidRPr="002955C5">
        <w:rPr>
          <w:szCs w:val="28"/>
        </w:rPr>
        <w:t xml:space="preserve"> </w:t>
      </w:r>
      <w:r w:rsidR="002955C5" w:rsidRPr="002955C5">
        <w:rPr>
          <w:szCs w:val="28"/>
        </w:rPr>
        <w:t xml:space="preserve"> к постановлению администрации Стародубского муниципального округа № </w:t>
      </w:r>
      <w:r w:rsidR="00387451" w:rsidRPr="00387451">
        <w:rPr>
          <w:szCs w:val="28"/>
        </w:rPr>
        <w:t>№374 от 03.04.2024</w:t>
      </w:r>
      <w:bookmarkStart w:id="0" w:name="_GoBack"/>
      <w:bookmarkEnd w:id="0"/>
    </w:p>
    <w:p w:rsidR="00AB39D5" w:rsidRDefault="00AB39D5" w:rsidP="00AB39D5">
      <w:pPr>
        <w:pStyle w:val="ConsPlusNormal"/>
        <w:jc w:val="both"/>
        <w:rPr>
          <w:sz w:val="24"/>
          <w:szCs w:val="24"/>
        </w:rPr>
      </w:pPr>
    </w:p>
    <w:p w:rsidR="00AB39D5" w:rsidRPr="005E5EB6" w:rsidRDefault="00AB39D5" w:rsidP="00AB39D5">
      <w:pPr>
        <w:pStyle w:val="ConsPlusTitle"/>
        <w:jc w:val="center"/>
        <w:rPr>
          <w:b w:val="0"/>
          <w:szCs w:val="28"/>
        </w:rPr>
      </w:pPr>
      <w:bookmarkStart w:id="1" w:name="P569"/>
      <w:bookmarkEnd w:id="1"/>
      <w:r w:rsidRPr="005E5EB6">
        <w:rPr>
          <w:b w:val="0"/>
          <w:szCs w:val="28"/>
        </w:rPr>
        <w:t>Методика</w:t>
      </w:r>
    </w:p>
    <w:p w:rsidR="00AB39D5" w:rsidRPr="005E5EB6" w:rsidRDefault="00AB39D5" w:rsidP="00CB30CC">
      <w:pPr>
        <w:pStyle w:val="ConsPlusTitle"/>
        <w:jc w:val="center"/>
        <w:rPr>
          <w:b w:val="0"/>
          <w:szCs w:val="28"/>
        </w:rPr>
      </w:pPr>
      <w:r w:rsidRPr="005E5EB6">
        <w:rPr>
          <w:b w:val="0"/>
          <w:szCs w:val="28"/>
        </w:rPr>
        <w:t xml:space="preserve">определения начальной (минимальной) цены </w:t>
      </w:r>
      <w:r w:rsidR="00CB30CC">
        <w:rPr>
          <w:b w:val="0"/>
          <w:szCs w:val="28"/>
        </w:rPr>
        <w:t>на размещение объекта, установленной в извещен</w:t>
      </w:r>
      <w:proofErr w:type="gramStart"/>
      <w:r w:rsidR="00CB30CC">
        <w:rPr>
          <w:b w:val="0"/>
          <w:szCs w:val="28"/>
        </w:rPr>
        <w:t>ии и ау</w:t>
      </w:r>
      <w:proofErr w:type="gramEnd"/>
      <w:r w:rsidR="00CB30CC">
        <w:rPr>
          <w:b w:val="0"/>
          <w:szCs w:val="28"/>
        </w:rPr>
        <w:t xml:space="preserve">кционной документации на право размещения нестационарных объектов на территории </w:t>
      </w:r>
      <w:r w:rsidR="00F2486C">
        <w:rPr>
          <w:b w:val="0"/>
          <w:szCs w:val="28"/>
        </w:rPr>
        <w:t>Стародубского муниципального</w:t>
      </w:r>
      <w:r w:rsidR="00CB30CC">
        <w:rPr>
          <w:b w:val="0"/>
          <w:szCs w:val="28"/>
        </w:rPr>
        <w:t xml:space="preserve"> округа Брянской области</w:t>
      </w:r>
    </w:p>
    <w:p w:rsidR="00AB39D5" w:rsidRPr="00715C5D" w:rsidRDefault="00AB39D5" w:rsidP="00AB39D5">
      <w:pPr>
        <w:pStyle w:val="ConsPlusNormal"/>
        <w:jc w:val="both"/>
        <w:rPr>
          <w:sz w:val="24"/>
        </w:rPr>
      </w:pPr>
    </w:p>
    <w:p w:rsidR="00AB39D5" w:rsidRPr="005E5EB6" w:rsidRDefault="00AB39D5" w:rsidP="005E5EB6">
      <w:pPr>
        <w:pStyle w:val="ConsPlusNormal"/>
        <w:ind w:firstLine="708"/>
        <w:jc w:val="both"/>
        <w:rPr>
          <w:szCs w:val="28"/>
        </w:rPr>
      </w:pPr>
      <w:r w:rsidRPr="005E5EB6">
        <w:rPr>
          <w:szCs w:val="28"/>
        </w:rPr>
        <w:t xml:space="preserve">Настоящая методика применяется для расчета платы по договорам на размещение нестационарных торговых объектов, размещаемых в соответствии с </w:t>
      </w:r>
      <w:hyperlink r:id="rId9" w:history="1">
        <w:r w:rsidRPr="005E5EB6">
          <w:rPr>
            <w:szCs w:val="28"/>
          </w:rPr>
          <w:t>Положением</w:t>
        </w:r>
      </w:hyperlink>
      <w:r w:rsidRPr="005E5EB6">
        <w:rPr>
          <w:szCs w:val="28"/>
        </w:rPr>
        <w:t xml:space="preserve"> о порядке размещения нестационарных торговых объектов на территории </w:t>
      </w:r>
      <w:r w:rsidR="00F2486C" w:rsidRPr="00FF1727">
        <w:rPr>
          <w:szCs w:val="28"/>
        </w:rPr>
        <w:t>Стародубского муниципального округа</w:t>
      </w:r>
      <w:r w:rsidR="00F2486C">
        <w:rPr>
          <w:szCs w:val="28"/>
        </w:rPr>
        <w:t xml:space="preserve"> </w:t>
      </w:r>
      <w:r w:rsidR="009862C9">
        <w:rPr>
          <w:szCs w:val="28"/>
        </w:rPr>
        <w:t>Брянской области</w:t>
      </w:r>
      <w:r w:rsidRPr="005E5EB6">
        <w:rPr>
          <w:szCs w:val="28"/>
        </w:rPr>
        <w:t>.</w:t>
      </w:r>
    </w:p>
    <w:p w:rsidR="00AB39D5" w:rsidRPr="005E5EB6" w:rsidRDefault="00AB39D5" w:rsidP="005E5EB6">
      <w:pPr>
        <w:pStyle w:val="ConsPlusNormal"/>
        <w:ind w:firstLine="708"/>
        <w:jc w:val="both"/>
        <w:rPr>
          <w:szCs w:val="28"/>
        </w:rPr>
      </w:pPr>
      <w:r w:rsidRPr="005E5EB6">
        <w:rPr>
          <w:szCs w:val="28"/>
        </w:rPr>
        <w:t>Размер годовой платы по договору на размещение нестационарного торгового объекта</w:t>
      </w:r>
      <w:r w:rsidR="00B81BDE">
        <w:rPr>
          <w:szCs w:val="28"/>
        </w:rPr>
        <w:t xml:space="preserve"> в первый год действия договора</w:t>
      </w:r>
      <w:r w:rsidRPr="005E5EB6">
        <w:rPr>
          <w:szCs w:val="28"/>
        </w:rPr>
        <w:t xml:space="preserve"> и начальной (минимальной) цены аукциона на право заключения договора на размещение нестационарного торгового объекта по результатам проведения аукциона (без НДС) рассчитывается по формуле:</w:t>
      </w:r>
    </w:p>
    <w:p w:rsidR="00AB39D5" w:rsidRPr="00B81BDE" w:rsidRDefault="00AB39D5" w:rsidP="005E5EB6">
      <w:pPr>
        <w:pStyle w:val="ConsPlusNormal"/>
        <w:jc w:val="both"/>
        <w:rPr>
          <w:szCs w:val="28"/>
        </w:rPr>
      </w:pPr>
    </w:p>
    <w:p w:rsidR="00AB39D5" w:rsidRDefault="00AB39D5" w:rsidP="00B26AB3">
      <w:pPr>
        <w:pStyle w:val="ad"/>
        <w:shd w:val="clear" w:color="auto" w:fill="FFFFFF"/>
        <w:spacing w:before="0" w:beforeAutospacing="0" w:after="0" w:afterAutospacing="0"/>
        <w:jc w:val="center"/>
        <w:textAlignment w:val="baseline"/>
        <w:rPr>
          <w:color w:val="000000"/>
          <w:sz w:val="28"/>
          <w:szCs w:val="28"/>
        </w:rPr>
      </w:pPr>
      <w:r w:rsidRPr="005E5EB6">
        <w:rPr>
          <w:color w:val="000000"/>
          <w:sz w:val="28"/>
          <w:szCs w:val="28"/>
        </w:rPr>
        <w:t>РП</w:t>
      </w:r>
      <w:r w:rsidR="00B81BDE" w:rsidRPr="00B81BDE">
        <w:rPr>
          <w:color w:val="000000"/>
          <w:sz w:val="20"/>
          <w:szCs w:val="28"/>
        </w:rPr>
        <w:t>1</w:t>
      </w:r>
      <w:r w:rsidR="00B81BDE">
        <w:rPr>
          <w:color w:val="000000"/>
          <w:sz w:val="28"/>
          <w:szCs w:val="28"/>
        </w:rPr>
        <w:t xml:space="preserve"> = БС x S x </w:t>
      </w:r>
      <w:proofErr w:type="gramStart"/>
      <w:r w:rsidR="00B81BDE">
        <w:rPr>
          <w:color w:val="000000"/>
          <w:sz w:val="28"/>
          <w:szCs w:val="28"/>
        </w:rPr>
        <w:t>ПР</w:t>
      </w:r>
      <w:proofErr w:type="gramEnd"/>
      <w:r w:rsidR="00B81BDE">
        <w:rPr>
          <w:color w:val="000000"/>
          <w:sz w:val="28"/>
          <w:szCs w:val="28"/>
        </w:rPr>
        <w:t xml:space="preserve"> x К1 x К2, где</w:t>
      </w:r>
    </w:p>
    <w:p w:rsidR="00B81BDE" w:rsidRPr="00B81BDE" w:rsidRDefault="00B81BDE" w:rsidP="00B26AB3">
      <w:pPr>
        <w:pStyle w:val="ad"/>
        <w:shd w:val="clear" w:color="auto" w:fill="FFFFFF"/>
        <w:spacing w:before="0" w:beforeAutospacing="0" w:after="0" w:afterAutospacing="0"/>
        <w:jc w:val="center"/>
        <w:textAlignment w:val="baseline"/>
        <w:rPr>
          <w:color w:val="000000"/>
          <w:sz w:val="28"/>
          <w:szCs w:val="28"/>
        </w:rPr>
      </w:pPr>
    </w:p>
    <w:p w:rsidR="00B81BDE" w:rsidRPr="00B81BDE" w:rsidRDefault="00B81BDE" w:rsidP="00B26AB3">
      <w:pPr>
        <w:pStyle w:val="ad"/>
        <w:shd w:val="clear" w:color="auto" w:fill="FFFFFF"/>
        <w:spacing w:before="0" w:beforeAutospacing="0" w:after="0" w:afterAutospacing="0"/>
        <w:ind w:firstLine="708"/>
        <w:textAlignment w:val="baseline"/>
        <w:rPr>
          <w:color w:val="000000"/>
          <w:sz w:val="28"/>
          <w:szCs w:val="28"/>
        </w:rPr>
      </w:pPr>
      <w:r>
        <w:rPr>
          <w:color w:val="000000"/>
          <w:sz w:val="28"/>
          <w:szCs w:val="28"/>
        </w:rPr>
        <w:t>РП</w:t>
      </w:r>
      <w:proofErr w:type="gramStart"/>
      <w:r w:rsidRPr="00B81BDE">
        <w:rPr>
          <w:color w:val="000000"/>
          <w:sz w:val="20"/>
          <w:szCs w:val="28"/>
        </w:rPr>
        <w:t>1</w:t>
      </w:r>
      <w:proofErr w:type="gramEnd"/>
      <w:r>
        <w:rPr>
          <w:color w:val="000000"/>
          <w:sz w:val="20"/>
          <w:szCs w:val="28"/>
        </w:rPr>
        <w:t xml:space="preserve"> </w:t>
      </w:r>
      <w:r>
        <w:rPr>
          <w:color w:val="000000"/>
          <w:sz w:val="28"/>
          <w:szCs w:val="28"/>
        </w:rPr>
        <w:t>– размер годовой платы за размещение нестационарного торгового объекта в первый год действия договора;</w:t>
      </w:r>
    </w:p>
    <w:p w:rsidR="00AB39D5" w:rsidRPr="009343C6" w:rsidRDefault="00AB39D5" w:rsidP="00B81BDE">
      <w:pPr>
        <w:pStyle w:val="ad"/>
        <w:shd w:val="clear" w:color="auto" w:fill="FFFFFF"/>
        <w:spacing w:before="0" w:beforeAutospacing="0" w:after="0" w:afterAutospacing="0"/>
        <w:ind w:firstLine="708"/>
        <w:jc w:val="both"/>
        <w:textAlignment w:val="baseline"/>
        <w:rPr>
          <w:sz w:val="28"/>
          <w:szCs w:val="28"/>
        </w:rPr>
      </w:pPr>
      <w:r w:rsidRPr="005E5EB6">
        <w:rPr>
          <w:color w:val="000000"/>
          <w:sz w:val="28"/>
          <w:szCs w:val="28"/>
        </w:rPr>
        <w:t xml:space="preserve">БС - базовая </w:t>
      </w:r>
      <w:r w:rsidR="00B81BDE">
        <w:rPr>
          <w:color w:val="000000"/>
          <w:sz w:val="28"/>
          <w:szCs w:val="28"/>
        </w:rPr>
        <w:t xml:space="preserve">стоимость для расчета размера платы за 1 </w:t>
      </w:r>
      <w:proofErr w:type="spellStart"/>
      <w:r w:rsidR="00B81BDE">
        <w:rPr>
          <w:color w:val="000000"/>
          <w:sz w:val="28"/>
          <w:szCs w:val="28"/>
        </w:rPr>
        <w:t>кв</w:t>
      </w:r>
      <w:proofErr w:type="gramStart"/>
      <w:r w:rsidR="00B81BDE">
        <w:rPr>
          <w:color w:val="000000"/>
          <w:sz w:val="28"/>
          <w:szCs w:val="28"/>
        </w:rPr>
        <w:t>.м</w:t>
      </w:r>
      <w:proofErr w:type="spellEnd"/>
      <w:proofErr w:type="gramEnd"/>
      <w:r w:rsidR="00B81BDE">
        <w:rPr>
          <w:color w:val="000000"/>
          <w:sz w:val="28"/>
          <w:szCs w:val="28"/>
        </w:rPr>
        <w:t xml:space="preserve"> места</w:t>
      </w:r>
      <w:r w:rsidRPr="005E5EB6">
        <w:rPr>
          <w:color w:val="000000"/>
          <w:sz w:val="28"/>
          <w:szCs w:val="28"/>
        </w:rPr>
        <w:t xml:space="preserve"> размещени</w:t>
      </w:r>
      <w:r w:rsidR="00B81BDE">
        <w:rPr>
          <w:color w:val="000000"/>
          <w:sz w:val="28"/>
          <w:szCs w:val="28"/>
        </w:rPr>
        <w:t>я</w:t>
      </w:r>
      <w:r w:rsidRPr="005E5EB6">
        <w:rPr>
          <w:color w:val="000000"/>
          <w:sz w:val="28"/>
          <w:szCs w:val="28"/>
        </w:rPr>
        <w:t xml:space="preserve"> нестационарн</w:t>
      </w:r>
      <w:r w:rsidR="00B81BDE">
        <w:rPr>
          <w:color w:val="000000"/>
          <w:sz w:val="28"/>
          <w:szCs w:val="28"/>
        </w:rPr>
        <w:t>ого</w:t>
      </w:r>
      <w:r w:rsidRPr="005E5EB6">
        <w:rPr>
          <w:color w:val="000000"/>
          <w:sz w:val="28"/>
          <w:szCs w:val="28"/>
        </w:rPr>
        <w:t xml:space="preserve"> торгов</w:t>
      </w:r>
      <w:r w:rsidR="00B81BDE">
        <w:rPr>
          <w:color w:val="000000"/>
          <w:sz w:val="28"/>
          <w:szCs w:val="28"/>
        </w:rPr>
        <w:t>ого</w:t>
      </w:r>
      <w:r w:rsidRPr="005E5EB6">
        <w:rPr>
          <w:color w:val="000000"/>
          <w:sz w:val="28"/>
          <w:szCs w:val="28"/>
        </w:rPr>
        <w:t xml:space="preserve"> объект</w:t>
      </w:r>
      <w:r w:rsidR="00B81BDE">
        <w:rPr>
          <w:color w:val="000000"/>
          <w:sz w:val="28"/>
          <w:szCs w:val="28"/>
        </w:rPr>
        <w:t>а</w:t>
      </w:r>
      <w:r w:rsidRPr="005E5EB6">
        <w:rPr>
          <w:color w:val="000000"/>
          <w:sz w:val="28"/>
          <w:szCs w:val="28"/>
        </w:rPr>
        <w:t xml:space="preserve"> (объектов бытового обслуживания) на территории </w:t>
      </w:r>
      <w:r w:rsidR="00F2486C" w:rsidRPr="00F2486C">
        <w:rPr>
          <w:color w:val="000000"/>
          <w:sz w:val="28"/>
          <w:szCs w:val="28"/>
        </w:rPr>
        <w:t>Стародубского муниципального округа</w:t>
      </w:r>
      <w:r w:rsidR="00FF1727">
        <w:rPr>
          <w:color w:val="000000"/>
          <w:sz w:val="28"/>
          <w:szCs w:val="28"/>
        </w:rPr>
        <w:t xml:space="preserve"> </w:t>
      </w:r>
      <w:r w:rsidR="00FF1727" w:rsidRPr="00FF1727">
        <w:rPr>
          <w:color w:val="000000"/>
          <w:sz w:val="28"/>
          <w:szCs w:val="28"/>
        </w:rPr>
        <w:t>Брянской области</w:t>
      </w:r>
      <w:r w:rsidR="00B81BDE">
        <w:rPr>
          <w:color w:val="000000"/>
          <w:sz w:val="28"/>
          <w:szCs w:val="28"/>
        </w:rPr>
        <w:t xml:space="preserve">. </w:t>
      </w:r>
      <w:r w:rsidRPr="009343C6">
        <w:rPr>
          <w:sz w:val="28"/>
          <w:szCs w:val="28"/>
        </w:rPr>
        <w:t xml:space="preserve">Базовая ставка определена в размере </w:t>
      </w:r>
      <w:r w:rsidR="009343C6" w:rsidRPr="009343C6">
        <w:rPr>
          <w:sz w:val="28"/>
          <w:szCs w:val="28"/>
        </w:rPr>
        <w:t>70,0 руб.</w:t>
      </w:r>
    </w:p>
    <w:p w:rsidR="00AB39D5" w:rsidRPr="005E5EB6" w:rsidRDefault="00AB39D5" w:rsidP="00B26AB3">
      <w:pPr>
        <w:pStyle w:val="ad"/>
        <w:shd w:val="clear" w:color="auto" w:fill="FFFFFF"/>
        <w:spacing w:before="0" w:beforeAutospacing="0" w:after="0" w:afterAutospacing="0"/>
        <w:ind w:firstLine="708"/>
        <w:textAlignment w:val="baseline"/>
        <w:rPr>
          <w:color w:val="000000"/>
          <w:sz w:val="28"/>
          <w:szCs w:val="28"/>
        </w:rPr>
      </w:pPr>
      <w:r w:rsidRPr="005E5EB6">
        <w:rPr>
          <w:color w:val="000000"/>
          <w:sz w:val="28"/>
          <w:szCs w:val="28"/>
        </w:rPr>
        <w:t>S - общая площадь нестационарного объекта (кв. м);</w:t>
      </w:r>
    </w:p>
    <w:p w:rsidR="00AB39D5" w:rsidRPr="005E5EB6" w:rsidRDefault="00AB39D5" w:rsidP="00B26AB3">
      <w:pPr>
        <w:pStyle w:val="ad"/>
        <w:shd w:val="clear" w:color="auto" w:fill="FFFFFF"/>
        <w:spacing w:before="0" w:beforeAutospacing="0" w:after="0" w:afterAutospacing="0"/>
        <w:ind w:firstLine="708"/>
        <w:jc w:val="both"/>
        <w:textAlignment w:val="baseline"/>
        <w:rPr>
          <w:color w:val="000000"/>
          <w:sz w:val="28"/>
          <w:szCs w:val="28"/>
        </w:rPr>
      </w:pPr>
      <w:proofErr w:type="gramStart"/>
      <w:r w:rsidRPr="005E5EB6">
        <w:rPr>
          <w:color w:val="000000"/>
          <w:sz w:val="28"/>
          <w:szCs w:val="28"/>
        </w:rPr>
        <w:t>ПР</w:t>
      </w:r>
      <w:proofErr w:type="gramEnd"/>
      <w:r w:rsidRPr="005E5EB6">
        <w:rPr>
          <w:color w:val="000000"/>
          <w:sz w:val="28"/>
          <w:szCs w:val="28"/>
        </w:rPr>
        <w:t xml:space="preserve"> - период размещения и эксплуатации нестационарного объекта (в месяцах). При сезонном размещении нестационарного торгового объекта, расчетные показатели делятся на количество дней в году и умножаются на фактический период размещения Объекта;</w:t>
      </w:r>
    </w:p>
    <w:p w:rsidR="009D40A1" w:rsidRPr="00260B23" w:rsidRDefault="009D40A1" w:rsidP="009D40A1">
      <w:pPr>
        <w:pStyle w:val="ConsPlusNormal"/>
        <w:ind w:firstLine="708"/>
        <w:jc w:val="both"/>
        <w:rPr>
          <w:szCs w:val="28"/>
        </w:rPr>
      </w:pPr>
      <w:r w:rsidRPr="00260B23">
        <w:rPr>
          <w:szCs w:val="28"/>
        </w:rPr>
        <w:t>К</w:t>
      </w:r>
      <w:proofErr w:type="gramStart"/>
      <w:r w:rsidRPr="00260B23">
        <w:rPr>
          <w:szCs w:val="28"/>
        </w:rPr>
        <w:t>1</w:t>
      </w:r>
      <w:proofErr w:type="gramEnd"/>
      <w:r w:rsidRPr="00260B23">
        <w:rPr>
          <w:szCs w:val="28"/>
        </w:rPr>
        <w:t xml:space="preserve"> - коэффициент, учитывающий территориальное расположение установки и эксплуатации нестационарного объекта:</w:t>
      </w:r>
    </w:p>
    <w:p w:rsidR="009D40A1" w:rsidRPr="00260B23" w:rsidRDefault="009D40A1" w:rsidP="009D40A1">
      <w:pPr>
        <w:pStyle w:val="ConsPlusNormal"/>
        <w:ind w:firstLine="540"/>
        <w:jc w:val="both"/>
        <w:rPr>
          <w:szCs w:val="28"/>
        </w:rPr>
      </w:pPr>
      <w:r w:rsidRPr="00260B23">
        <w:rPr>
          <w:szCs w:val="28"/>
        </w:rPr>
        <w:t>1- зона К</w:t>
      </w:r>
      <w:proofErr w:type="gramStart"/>
      <w:r w:rsidRPr="00260B23">
        <w:rPr>
          <w:szCs w:val="28"/>
        </w:rPr>
        <w:t>1</w:t>
      </w:r>
      <w:proofErr w:type="gramEnd"/>
      <w:r w:rsidRPr="00260B23">
        <w:rPr>
          <w:szCs w:val="28"/>
        </w:rPr>
        <w:t xml:space="preserve"> = </w:t>
      </w:r>
      <w:r w:rsidR="002955C5">
        <w:rPr>
          <w:szCs w:val="28"/>
        </w:rPr>
        <w:t>3</w:t>
      </w:r>
      <w:r w:rsidRPr="00260B23">
        <w:rPr>
          <w:szCs w:val="28"/>
        </w:rPr>
        <w:t>,0</w:t>
      </w:r>
    </w:p>
    <w:p w:rsidR="009D40A1" w:rsidRDefault="009D40A1" w:rsidP="002A204E">
      <w:pPr>
        <w:pStyle w:val="ConsPlusNormal"/>
        <w:ind w:firstLine="540"/>
        <w:jc w:val="both"/>
        <w:rPr>
          <w:szCs w:val="28"/>
        </w:rPr>
      </w:pPr>
      <w:r>
        <w:rPr>
          <w:szCs w:val="28"/>
        </w:rPr>
        <w:t>(цен</w:t>
      </w:r>
      <w:r w:rsidR="007D4ADE">
        <w:rPr>
          <w:szCs w:val="28"/>
        </w:rPr>
        <w:t>тральная часть города</w:t>
      </w:r>
      <w:r w:rsidR="00FF1727">
        <w:rPr>
          <w:szCs w:val="28"/>
        </w:rPr>
        <w:t xml:space="preserve"> Стародуба</w:t>
      </w:r>
      <w:r w:rsidR="007D4ADE">
        <w:rPr>
          <w:szCs w:val="28"/>
        </w:rPr>
        <w:t xml:space="preserve"> </w:t>
      </w:r>
      <w:proofErr w:type="spellStart"/>
      <w:r w:rsidR="007D4ADE">
        <w:rPr>
          <w:szCs w:val="28"/>
        </w:rPr>
        <w:t>пл</w:t>
      </w:r>
      <w:proofErr w:type="gramStart"/>
      <w:r w:rsidR="007D4ADE">
        <w:rPr>
          <w:szCs w:val="28"/>
        </w:rPr>
        <w:t>.С</w:t>
      </w:r>
      <w:proofErr w:type="gramEnd"/>
      <w:r w:rsidR="007D4ADE">
        <w:rPr>
          <w:szCs w:val="28"/>
        </w:rPr>
        <w:t>оветская</w:t>
      </w:r>
      <w:proofErr w:type="spellEnd"/>
      <w:r w:rsidR="00D01EFE">
        <w:rPr>
          <w:szCs w:val="28"/>
        </w:rPr>
        <w:t>)</w:t>
      </w:r>
    </w:p>
    <w:p w:rsidR="002955C5" w:rsidRDefault="002955C5" w:rsidP="00D01EFE">
      <w:pPr>
        <w:pStyle w:val="ConsPlusNormal"/>
        <w:ind w:firstLine="540"/>
        <w:jc w:val="both"/>
        <w:rPr>
          <w:szCs w:val="28"/>
        </w:rPr>
      </w:pPr>
    </w:p>
    <w:p w:rsidR="00D01EFE" w:rsidRDefault="00D01EFE" w:rsidP="00D01EFE">
      <w:pPr>
        <w:pStyle w:val="ConsPlusNormal"/>
        <w:ind w:firstLine="540"/>
        <w:jc w:val="both"/>
        <w:rPr>
          <w:szCs w:val="28"/>
        </w:rPr>
      </w:pPr>
      <w:r w:rsidRPr="00260B23">
        <w:rPr>
          <w:szCs w:val="28"/>
        </w:rPr>
        <w:t>2- зона К</w:t>
      </w:r>
      <w:proofErr w:type="gramStart"/>
      <w:r w:rsidRPr="00260B23">
        <w:rPr>
          <w:szCs w:val="28"/>
        </w:rPr>
        <w:t>1</w:t>
      </w:r>
      <w:proofErr w:type="gramEnd"/>
      <w:r w:rsidRPr="00260B23">
        <w:rPr>
          <w:szCs w:val="28"/>
        </w:rPr>
        <w:t xml:space="preserve"> = </w:t>
      </w:r>
      <w:r w:rsidR="002955C5">
        <w:rPr>
          <w:szCs w:val="28"/>
        </w:rPr>
        <w:t>2,6</w:t>
      </w:r>
    </w:p>
    <w:p w:rsidR="00D01EFE" w:rsidRDefault="00D01EFE" w:rsidP="00D01EFE">
      <w:pPr>
        <w:pStyle w:val="ConsPlusNormal"/>
        <w:ind w:firstLine="540"/>
        <w:jc w:val="both"/>
        <w:rPr>
          <w:szCs w:val="28"/>
        </w:rPr>
      </w:pPr>
      <w:r>
        <w:rPr>
          <w:szCs w:val="28"/>
        </w:rPr>
        <w:t>Территория</w:t>
      </w:r>
      <w:r w:rsidR="007D4ADE">
        <w:rPr>
          <w:szCs w:val="28"/>
        </w:rPr>
        <w:t xml:space="preserve"> по ул. Первомайская</w:t>
      </w:r>
      <w:r w:rsidR="00FF1727">
        <w:rPr>
          <w:szCs w:val="28"/>
        </w:rPr>
        <w:t xml:space="preserve"> </w:t>
      </w:r>
      <w:proofErr w:type="spellStart"/>
      <w:r w:rsidR="00FF1727">
        <w:rPr>
          <w:szCs w:val="28"/>
        </w:rPr>
        <w:t>г</w:t>
      </w:r>
      <w:proofErr w:type="gramStart"/>
      <w:r w:rsidR="00FF1727">
        <w:rPr>
          <w:szCs w:val="28"/>
        </w:rPr>
        <w:t>.С</w:t>
      </w:r>
      <w:proofErr w:type="gramEnd"/>
      <w:r w:rsidR="00FF1727">
        <w:rPr>
          <w:szCs w:val="28"/>
        </w:rPr>
        <w:t>тародуба</w:t>
      </w:r>
      <w:proofErr w:type="spellEnd"/>
    </w:p>
    <w:p w:rsidR="00D01EFE" w:rsidRDefault="00D01EFE" w:rsidP="00D01EFE">
      <w:pPr>
        <w:pStyle w:val="ConsPlusNormal"/>
        <w:ind w:firstLine="540"/>
        <w:jc w:val="both"/>
        <w:rPr>
          <w:szCs w:val="28"/>
        </w:rPr>
      </w:pPr>
      <w:r w:rsidRPr="00260B23">
        <w:rPr>
          <w:szCs w:val="28"/>
        </w:rPr>
        <w:lastRenderedPageBreak/>
        <w:t>3- зона К</w:t>
      </w:r>
      <w:proofErr w:type="gramStart"/>
      <w:r w:rsidRPr="00260B23">
        <w:rPr>
          <w:szCs w:val="28"/>
        </w:rPr>
        <w:t>1</w:t>
      </w:r>
      <w:proofErr w:type="gramEnd"/>
      <w:r w:rsidRPr="00260B23">
        <w:rPr>
          <w:szCs w:val="28"/>
        </w:rPr>
        <w:t xml:space="preserve"> = </w:t>
      </w:r>
      <w:r w:rsidR="002955C5">
        <w:rPr>
          <w:szCs w:val="28"/>
        </w:rPr>
        <w:t>2</w:t>
      </w:r>
      <w:r w:rsidRPr="00260B23">
        <w:rPr>
          <w:szCs w:val="28"/>
        </w:rPr>
        <w:t xml:space="preserve"> </w:t>
      </w:r>
    </w:p>
    <w:p w:rsidR="00D01EFE" w:rsidRDefault="00D01EFE" w:rsidP="00D01EFE">
      <w:pPr>
        <w:pStyle w:val="ConsPlusNormal"/>
        <w:ind w:firstLine="540"/>
        <w:jc w:val="both"/>
        <w:rPr>
          <w:szCs w:val="28"/>
        </w:rPr>
      </w:pPr>
      <w:r>
        <w:rPr>
          <w:szCs w:val="28"/>
        </w:rPr>
        <w:t>За пределами территории зон 1 и 2.</w:t>
      </w:r>
    </w:p>
    <w:p w:rsidR="00D01EFE" w:rsidRDefault="00D01EFE" w:rsidP="00B26AB3">
      <w:pPr>
        <w:rPr>
          <w:color w:val="000000"/>
          <w:sz w:val="28"/>
          <w:szCs w:val="28"/>
        </w:rPr>
      </w:pPr>
    </w:p>
    <w:p w:rsidR="00AB39D5" w:rsidRDefault="00AB39D5" w:rsidP="00D01EFE">
      <w:pPr>
        <w:ind w:firstLine="540"/>
        <w:rPr>
          <w:color w:val="000000"/>
          <w:sz w:val="28"/>
          <w:szCs w:val="28"/>
        </w:rPr>
      </w:pPr>
      <w:r w:rsidRPr="005E5EB6">
        <w:rPr>
          <w:color w:val="000000"/>
          <w:sz w:val="28"/>
          <w:szCs w:val="28"/>
        </w:rPr>
        <w:t>К</w:t>
      </w:r>
      <w:proofErr w:type="gramStart"/>
      <w:r w:rsidRPr="005E5EB6">
        <w:rPr>
          <w:color w:val="000000"/>
          <w:sz w:val="28"/>
          <w:szCs w:val="28"/>
        </w:rPr>
        <w:t>2</w:t>
      </w:r>
      <w:proofErr w:type="gramEnd"/>
      <w:r w:rsidRPr="005E5EB6">
        <w:rPr>
          <w:color w:val="000000"/>
          <w:sz w:val="28"/>
          <w:szCs w:val="28"/>
        </w:rPr>
        <w:t xml:space="preserve"> – </w:t>
      </w:r>
      <w:r w:rsidR="00CB30CC">
        <w:rPr>
          <w:color w:val="000000"/>
          <w:sz w:val="28"/>
          <w:szCs w:val="28"/>
        </w:rPr>
        <w:t>вид деятельности нестационарного объекта</w:t>
      </w:r>
      <w:r w:rsidRPr="005E5EB6">
        <w:rPr>
          <w:color w:val="000000"/>
          <w:sz w:val="28"/>
          <w:szCs w:val="28"/>
        </w:rPr>
        <w:t>:</w:t>
      </w:r>
    </w:p>
    <w:p w:rsidR="00B26AB3" w:rsidRPr="00D01EFE" w:rsidRDefault="00B26AB3" w:rsidP="00B26AB3">
      <w:pPr>
        <w:rPr>
          <w:color w:val="000000"/>
          <w:sz w:val="6"/>
          <w:szCs w:val="28"/>
        </w:rPr>
      </w:pPr>
    </w:p>
    <w:tbl>
      <w:tblPr>
        <w:tblStyle w:val="ac"/>
        <w:tblW w:w="0" w:type="auto"/>
        <w:tblLook w:val="04A0" w:firstRow="1" w:lastRow="0" w:firstColumn="1" w:lastColumn="0" w:noHBand="0" w:noVBand="1"/>
      </w:tblPr>
      <w:tblGrid>
        <w:gridCol w:w="704"/>
        <w:gridCol w:w="5661"/>
        <w:gridCol w:w="3206"/>
      </w:tblGrid>
      <w:tr w:rsidR="00B26AB3" w:rsidTr="00B26AB3">
        <w:tc>
          <w:tcPr>
            <w:tcW w:w="704" w:type="dxa"/>
          </w:tcPr>
          <w:p w:rsidR="00B26AB3" w:rsidRDefault="00B26AB3" w:rsidP="00B26AB3">
            <w:pPr>
              <w:rPr>
                <w:color w:val="000000"/>
                <w:sz w:val="28"/>
                <w:szCs w:val="28"/>
              </w:rPr>
            </w:pPr>
            <w:r>
              <w:rPr>
                <w:color w:val="000000"/>
                <w:sz w:val="28"/>
                <w:szCs w:val="28"/>
              </w:rPr>
              <w:t>№</w:t>
            </w:r>
          </w:p>
        </w:tc>
        <w:tc>
          <w:tcPr>
            <w:tcW w:w="5670" w:type="dxa"/>
          </w:tcPr>
          <w:p w:rsidR="00B26AB3" w:rsidRDefault="00B26AB3" w:rsidP="00B26AB3">
            <w:pPr>
              <w:rPr>
                <w:color w:val="000000"/>
                <w:sz w:val="28"/>
                <w:szCs w:val="28"/>
              </w:rPr>
            </w:pPr>
            <w:r>
              <w:rPr>
                <w:color w:val="000000"/>
                <w:sz w:val="28"/>
                <w:szCs w:val="28"/>
              </w:rPr>
              <w:t>Вид деятельности нестационарного объекта</w:t>
            </w:r>
          </w:p>
        </w:tc>
        <w:tc>
          <w:tcPr>
            <w:tcW w:w="3210" w:type="dxa"/>
          </w:tcPr>
          <w:p w:rsidR="00B26AB3" w:rsidRDefault="00B26AB3" w:rsidP="00EF04F6">
            <w:pPr>
              <w:jc w:val="center"/>
              <w:rPr>
                <w:color w:val="000000"/>
                <w:sz w:val="28"/>
                <w:szCs w:val="28"/>
              </w:rPr>
            </w:pPr>
            <w:r>
              <w:rPr>
                <w:color w:val="000000"/>
                <w:sz w:val="28"/>
                <w:szCs w:val="28"/>
              </w:rPr>
              <w:t>Коэффициент</w:t>
            </w:r>
          </w:p>
        </w:tc>
      </w:tr>
      <w:tr w:rsidR="00CB30CC" w:rsidTr="00523820">
        <w:tc>
          <w:tcPr>
            <w:tcW w:w="9584" w:type="dxa"/>
            <w:gridSpan w:val="3"/>
          </w:tcPr>
          <w:p w:rsidR="00CB30CC" w:rsidRPr="00CB30CC" w:rsidRDefault="00CB30CC" w:rsidP="00CB30CC">
            <w:pPr>
              <w:pStyle w:val="af"/>
              <w:numPr>
                <w:ilvl w:val="0"/>
                <w:numId w:val="1"/>
              </w:numPr>
              <w:jc w:val="center"/>
              <w:rPr>
                <w:color w:val="000000"/>
                <w:sz w:val="28"/>
                <w:szCs w:val="28"/>
              </w:rPr>
            </w:pPr>
            <w:r w:rsidRPr="00CB30CC">
              <w:rPr>
                <w:color w:val="000000"/>
                <w:sz w:val="28"/>
                <w:szCs w:val="28"/>
              </w:rPr>
              <w:t>Нестационарные объекты бытового обслуживания</w:t>
            </w:r>
          </w:p>
        </w:tc>
      </w:tr>
      <w:tr w:rsidR="00B26AB3" w:rsidTr="00B26AB3">
        <w:tc>
          <w:tcPr>
            <w:tcW w:w="704" w:type="dxa"/>
          </w:tcPr>
          <w:p w:rsidR="00B26AB3" w:rsidRDefault="00B26AB3" w:rsidP="00B26AB3">
            <w:pPr>
              <w:rPr>
                <w:color w:val="000000"/>
                <w:sz w:val="28"/>
                <w:szCs w:val="28"/>
              </w:rPr>
            </w:pPr>
            <w:r>
              <w:rPr>
                <w:color w:val="000000"/>
                <w:sz w:val="28"/>
                <w:szCs w:val="28"/>
              </w:rPr>
              <w:t>1.1</w:t>
            </w:r>
          </w:p>
        </w:tc>
        <w:tc>
          <w:tcPr>
            <w:tcW w:w="5670" w:type="dxa"/>
          </w:tcPr>
          <w:p w:rsidR="00B26AB3" w:rsidRDefault="00B26AB3" w:rsidP="00B26AB3">
            <w:pPr>
              <w:rPr>
                <w:color w:val="000000"/>
                <w:sz w:val="28"/>
                <w:szCs w:val="28"/>
              </w:rPr>
            </w:pPr>
            <w:r>
              <w:rPr>
                <w:color w:val="000000"/>
                <w:sz w:val="28"/>
                <w:szCs w:val="28"/>
              </w:rPr>
              <w:t xml:space="preserve">Ремонт обуви, часов, </w:t>
            </w:r>
            <w:r w:rsidR="00CB30CC">
              <w:rPr>
                <w:color w:val="000000"/>
                <w:sz w:val="28"/>
                <w:szCs w:val="28"/>
              </w:rPr>
              <w:t xml:space="preserve">мобильных телефонов, и т.п.; </w:t>
            </w:r>
            <w:r>
              <w:rPr>
                <w:color w:val="000000"/>
                <w:sz w:val="28"/>
                <w:szCs w:val="28"/>
              </w:rPr>
              <w:t>изготовление ключей</w:t>
            </w:r>
          </w:p>
        </w:tc>
        <w:tc>
          <w:tcPr>
            <w:tcW w:w="3210" w:type="dxa"/>
          </w:tcPr>
          <w:p w:rsidR="00B26AB3" w:rsidRPr="00D01EFE" w:rsidRDefault="00A601F3" w:rsidP="00D01EFE">
            <w:pPr>
              <w:jc w:val="center"/>
              <w:rPr>
                <w:sz w:val="28"/>
                <w:szCs w:val="28"/>
              </w:rPr>
            </w:pPr>
            <w:r>
              <w:rPr>
                <w:sz w:val="28"/>
                <w:szCs w:val="28"/>
              </w:rPr>
              <w:t>1</w:t>
            </w:r>
            <w:r w:rsidR="00153C10" w:rsidRPr="00D01EFE">
              <w:rPr>
                <w:sz w:val="28"/>
                <w:szCs w:val="28"/>
              </w:rPr>
              <w:t xml:space="preserve"> </w:t>
            </w:r>
          </w:p>
        </w:tc>
      </w:tr>
      <w:tr w:rsidR="00B26AB3" w:rsidTr="00B26AB3">
        <w:tc>
          <w:tcPr>
            <w:tcW w:w="704" w:type="dxa"/>
          </w:tcPr>
          <w:p w:rsidR="00B26AB3" w:rsidRDefault="00B26AB3" w:rsidP="00B26AB3">
            <w:pPr>
              <w:rPr>
                <w:color w:val="000000"/>
                <w:sz w:val="28"/>
                <w:szCs w:val="28"/>
              </w:rPr>
            </w:pPr>
            <w:r>
              <w:rPr>
                <w:color w:val="000000"/>
                <w:sz w:val="28"/>
                <w:szCs w:val="28"/>
              </w:rPr>
              <w:t>1.2</w:t>
            </w:r>
          </w:p>
        </w:tc>
        <w:tc>
          <w:tcPr>
            <w:tcW w:w="5670" w:type="dxa"/>
          </w:tcPr>
          <w:p w:rsidR="00B26AB3" w:rsidRDefault="00B26AB3" w:rsidP="00B26AB3">
            <w:pPr>
              <w:rPr>
                <w:color w:val="000000"/>
                <w:sz w:val="28"/>
                <w:szCs w:val="28"/>
              </w:rPr>
            </w:pPr>
            <w:proofErr w:type="spellStart"/>
            <w:r>
              <w:rPr>
                <w:color w:val="000000"/>
                <w:sz w:val="28"/>
                <w:szCs w:val="28"/>
              </w:rPr>
              <w:t>Шиномонтаж</w:t>
            </w:r>
            <w:proofErr w:type="spellEnd"/>
            <w:r>
              <w:rPr>
                <w:color w:val="000000"/>
                <w:sz w:val="28"/>
                <w:szCs w:val="28"/>
              </w:rPr>
              <w:t>, ритуальные услуги</w:t>
            </w:r>
          </w:p>
        </w:tc>
        <w:tc>
          <w:tcPr>
            <w:tcW w:w="3210" w:type="dxa"/>
          </w:tcPr>
          <w:p w:rsidR="00B26AB3" w:rsidRPr="00D01EFE" w:rsidRDefault="00B26AB3" w:rsidP="00D01EFE">
            <w:pPr>
              <w:jc w:val="center"/>
              <w:rPr>
                <w:sz w:val="28"/>
                <w:szCs w:val="28"/>
              </w:rPr>
            </w:pPr>
            <w:r w:rsidRPr="00D01EFE">
              <w:rPr>
                <w:sz w:val="28"/>
                <w:szCs w:val="28"/>
              </w:rPr>
              <w:t>1</w:t>
            </w:r>
          </w:p>
        </w:tc>
      </w:tr>
      <w:tr w:rsidR="00153C10" w:rsidTr="00523820">
        <w:tc>
          <w:tcPr>
            <w:tcW w:w="9584" w:type="dxa"/>
            <w:gridSpan w:val="3"/>
          </w:tcPr>
          <w:p w:rsidR="00153C10" w:rsidRPr="00D01EFE" w:rsidRDefault="00153C10" w:rsidP="00153C10">
            <w:pPr>
              <w:pStyle w:val="af"/>
              <w:numPr>
                <w:ilvl w:val="0"/>
                <w:numId w:val="1"/>
              </w:numPr>
              <w:jc w:val="center"/>
              <w:rPr>
                <w:sz w:val="28"/>
                <w:szCs w:val="28"/>
              </w:rPr>
            </w:pPr>
            <w:r w:rsidRPr="00D01EFE">
              <w:rPr>
                <w:sz w:val="28"/>
                <w:szCs w:val="28"/>
              </w:rPr>
              <w:t>Нестационарные торговые объекты</w:t>
            </w:r>
          </w:p>
        </w:tc>
      </w:tr>
      <w:tr w:rsidR="00B26AB3" w:rsidTr="00B26AB3">
        <w:tc>
          <w:tcPr>
            <w:tcW w:w="704" w:type="dxa"/>
          </w:tcPr>
          <w:p w:rsidR="00B26AB3" w:rsidRDefault="00EF04F6" w:rsidP="00B26AB3">
            <w:pPr>
              <w:rPr>
                <w:color w:val="000000"/>
                <w:sz w:val="28"/>
                <w:szCs w:val="28"/>
              </w:rPr>
            </w:pPr>
            <w:r>
              <w:rPr>
                <w:color w:val="000000"/>
                <w:sz w:val="28"/>
                <w:szCs w:val="28"/>
              </w:rPr>
              <w:t>2.1</w:t>
            </w:r>
          </w:p>
        </w:tc>
        <w:tc>
          <w:tcPr>
            <w:tcW w:w="5670" w:type="dxa"/>
          </w:tcPr>
          <w:p w:rsidR="00B26AB3" w:rsidRDefault="00B26AB3" w:rsidP="00B26AB3">
            <w:pPr>
              <w:rPr>
                <w:color w:val="000000"/>
                <w:sz w:val="28"/>
                <w:szCs w:val="28"/>
              </w:rPr>
            </w:pPr>
            <w:r>
              <w:rPr>
                <w:color w:val="000000"/>
                <w:sz w:val="28"/>
                <w:szCs w:val="28"/>
              </w:rPr>
              <w:t>Печатная продукция, детское питание, церковные товары</w:t>
            </w:r>
          </w:p>
        </w:tc>
        <w:tc>
          <w:tcPr>
            <w:tcW w:w="3210" w:type="dxa"/>
          </w:tcPr>
          <w:p w:rsidR="00B26AB3" w:rsidRPr="00D01EFE" w:rsidRDefault="00A601F3" w:rsidP="00A601F3">
            <w:pPr>
              <w:jc w:val="center"/>
              <w:rPr>
                <w:sz w:val="28"/>
                <w:szCs w:val="28"/>
              </w:rPr>
            </w:pPr>
            <w:r>
              <w:rPr>
                <w:sz w:val="28"/>
                <w:szCs w:val="28"/>
              </w:rPr>
              <w:t>1</w:t>
            </w:r>
          </w:p>
        </w:tc>
      </w:tr>
      <w:tr w:rsidR="00B26AB3" w:rsidTr="00B26AB3">
        <w:tc>
          <w:tcPr>
            <w:tcW w:w="704" w:type="dxa"/>
          </w:tcPr>
          <w:p w:rsidR="00B26AB3" w:rsidRDefault="00EF04F6" w:rsidP="00B26AB3">
            <w:pPr>
              <w:rPr>
                <w:color w:val="000000"/>
                <w:sz w:val="28"/>
                <w:szCs w:val="28"/>
              </w:rPr>
            </w:pPr>
            <w:r>
              <w:rPr>
                <w:color w:val="000000"/>
                <w:sz w:val="28"/>
                <w:szCs w:val="28"/>
              </w:rPr>
              <w:t>2.2</w:t>
            </w:r>
          </w:p>
        </w:tc>
        <w:tc>
          <w:tcPr>
            <w:tcW w:w="5670" w:type="dxa"/>
          </w:tcPr>
          <w:p w:rsidR="00B26AB3" w:rsidRDefault="00B26AB3" w:rsidP="00B26AB3">
            <w:pPr>
              <w:rPr>
                <w:color w:val="000000"/>
                <w:sz w:val="28"/>
                <w:szCs w:val="28"/>
              </w:rPr>
            </w:pPr>
            <w:proofErr w:type="gramStart"/>
            <w:r>
              <w:rPr>
                <w:color w:val="000000"/>
                <w:sz w:val="28"/>
                <w:szCs w:val="28"/>
              </w:rPr>
              <w:t>Вода, овощи, фрукты, цветы, экспресс-питание, бытовая химия, продовольственные товары, промышленные</w:t>
            </w:r>
            <w:r w:rsidR="007D4ADE">
              <w:rPr>
                <w:color w:val="000000"/>
                <w:sz w:val="28"/>
                <w:szCs w:val="28"/>
              </w:rPr>
              <w:t xml:space="preserve"> и текстильные</w:t>
            </w:r>
            <w:r>
              <w:rPr>
                <w:color w:val="000000"/>
                <w:sz w:val="28"/>
                <w:szCs w:val="28"/>
              </w:rPr>
              <w:t xml:space="preserve"> товары, мороженное, лекарственные  препараты, безалкогольные напитки, выпечка, игрушки, шары, сладкая вата, сувениры</w:t>
            </w:r>
            <w:proofErr w:type="gramEnd"/>
          </w:p>
        </w:tc>
        <w:tc>
          <w:tcPr>
            <w:tcW w:w="3210" w:type="dxa"/>
          </w:tcPr>
          <w:p w:rsidR="00D01EFE" w:rsidRPr="00D01EFE" w:rsidRDefault="00B26AB3" w:rsidP="00D01EFE">
            <w:pPr>
              <w:jc w:val="center"/>
              <w:rPr>
                <w:sz w:val="28"/>
                <w:szCs w:val="28"/>
              </w:rPr>
            </w:pPr>
            <w:r w:rsidRPr="00D01EFE">
              <w:rPr>
                <w:sz w:val="28"/>
                <w:szCs w:val="28"/>
              </w:rPr>
              <w:t>1</w:t>
            </w:r>
          </w:p>
          <w:p w:rsidR="00B26AB3" w:rsidRPr="00D01EFE" w:rsidRDefault="00B26AB3" w:rsidP="00EF04F6">
            <w:pPr>
              <w:jc w:val="center"/>
              <w:rPr>
                <w:sz w:val="28"/>
                <w:szCs w:val="28"/>
              </w:rPr>
            </w:pPr>
          </w:p>
        </w:tc>
      </w:tr>
      <w:tr w:rsidR="00B26AB3" w:rsidTr="00B26AB3">
        <w:tc>
          <w:tcPr>
            <w:tcW w:w="704" w:type="dxa"/>
          </w:tcPr>
          <w:p w:rsidR="00B26AB3" w:rsidRDefault="00EF04F6" w:rsidP="00B26AB3">
            <w:pPr>
              <w:rPr>
                <w:color w:val="000000"/>
                <w:sz w:val="28"/>
                <w:szCs w:val="28"/>
              </w:rPr>
            </w:pPr>
            <w:r>
              <w:rPr>
                <w:color w:val="000000"/>
                <w:sz w:val="28"/>
                <w:szCs w:val="28"/>
              </w:rPr>
              <w:t>2.3</w:t>
            </w:r>
          </w:p>
        </w:tc>
        <w:tc>
          <w:tcPr>
            <w:tcW w:w="5670" w:type="dxa"/>
          </w:tcPr>
          <w:p w:rsidR="00B26AB3" w:rsidRDefault="00EF04F6" w:rsidP="00B26AB3">
            <w:pPr>
              <w:rPr>
                <w:color w:val="000000"/>
                <w:sz w:val="28"/>
                <w:szCs w:val="28"/>
              </w:rPr>
            </w:pPr>
            <w:r>
              <w:rPr>
                <w:color w:val="000000"/>
                <w:sz w:val="28"/>
                <w:szCs w:val="28"/>
              </w:rPr>
              <w:t>Хлебобулочные изделия</w:t>
            </w:r>
          </w:p>
        </w:tc>
        <w:tc>
          <w:tcPr>
            <w:tcW w:w="3210" w:type="dxa"/>
          </w:tcPr>
          <w:p w:rsidR="00B26AB3" w:rsidRPr="00D01EFE" w:rsidRDefault="00A601F3" w:rsidP="00EF04F6">
            <w:pPr>
              <w:jc w:val="center"/>
              <w:rPr>
                <w:sz w:val="28"/>
                <w:szCs w:val="28"/>
              </w:rPr>
            </w:pPr>
            <w:r>
              <w:rPr>
                <w:sz w:val="28"/>
                <w:szCs w:val="28"/>
              </w:rPr>
              <w:t>1</w:t>
            </w:r>
          </w:p>
        </w:tc>
      </w:tr>
      <w:tr w:rsidR="00EF04F6" w:rsidTr="00B26AB3">
        <w:tc>
          <w:tcPr>
            <w:tcW w:w="704" w:type="dxa"/>
          </w:tcPr>
          <w:p w:rsidR="00EF04F6" w:rsidRDefault="00EF04F6" w:rsidP="00B26AB3">
            <w:pPr>
              <w:rPr>
                <w:color w:val="000000"/>
                <w:sz w:val="28"/>
                <w:szCs w:val="28"/>
              </w:rPr>
            </w:pPr>
            <w:r>
              <w:rPr>
                <w:color w:val="000000"/>
                <w:sz w:val="28"/>
                <w:szCs w:val="28"/>
              </w:rPr>
              <w:t>2.4</w:t>
            </w:r>
          </w:p>
        </w:tc>
        <w:tc>
          <w:tcPr>
            <w:tcW w:w="5670" w:type="dxa"/>
          </w:tcPr>
          <w:p w:rsidR="00EF04F6" w:rsidRDefault="00EF04F6" w:rsidP="00B26AB3">
            <w:pPr>
              <w:rPr>
                <w:color w:val="000000"/>
                <w:sz w:val="28"/>
                <w:szCs w:val="28"/>
              </w:rPr>
            </w:pPr>
            <w:r>
              <w:rPr>
                <w:color w:val="000000"/>
                <w:sz w:val="28"/>
                <w:szCs w:val="28"/>
              </w:rPr>
              <w:t>Бахчевые культуры</w:t>
            </w:r>
          </w:p>
        </w:tc>
        <w:tc>
          <w:tcPr>
            <w:tcW w:w="3210" w:type="dxa"/>
          </w:tcPr>
          <w:p w:rsidR="00EF04F6" w:rsidRPr="00D01EFE" w:rsidRDefault="00EF04F6" w:rsidP="00EF04F6">
            <w:pPr>
              <w:jc w:val="center"/>
              <w:rPr>
                <w:sz w:val="28"/>
                <w:szCs w:val="28"/>
              </w:rPr>
            </w:pPr>
            <w:r w:rsidRPr="00D01EFE">
              <w:rPr>
                <w:sz w:val="28"/>
                <w:szCs w:val="28"/>
              </w:rPr>
              <w:t>2</w:t>
            </w:r>
          </w:p>
        </w:tc>
      </w:tr>
      <w:tr w:rsidR="00EF04F6" w:rsidTr="00B26AB3">
        <w:tc>
          <w:tcPr>
            <w:tcW w:w="704" w:type="dxa"/>
          </w:tcPr>
          <w:p w:rsidR="00EF04F6" w:rsidRDefault="00EF04F6" w:rsidP="00B26AB3">
            <w:pPr>
              <w:rPr>
                <w:color w:val="000000"/>
                <w:sz w:val="28"/>
                <w:szCs w:val="28"/>
              </w:rPr>
            </w:pPr>
            <w:r>
              <w:rPr>
                <w:color w:val="000000"/>
                <w:sz w:val="28"/>
                <w:szCs w:val="28"/>
              </w:rPr>
              <w:t>2.5</w:t>
            </w:r>
          </w:p>
        </w:tc>
        <w:tc>
          <w:tcPr>
            <w:tcW w:w="5670" w:type="dxa"/>
          </w:tcPr>
          <w:p w:rsidR="00EF04F6" w:rsidRDefault="00EF04F6" w:rsidP="00B26AB3">
            <w:pPr>
              <w:rPr>
                <w:color w:val="000000"/>
                <w:sz w:val="28"/>
                <w:szCs w:val="28"/>
              </w:rPr>
            </w:pPr>
            <w:r>
              <w:rPr>
                <w:color w:val="000000"/>
                <w:sz w:val="28"/>
                <w:szCs w:val="28"/>
              </w:rPr>
              <w:t>Свежая рыба</w:t>
            </w:r>
            <w:r w:rsidR="007D4ADE">
              <w:rPr>
                <w:color w:val="000000"/>
                <w:sz w:val="28"/>
                <w:szCs w:val="28"/>
              </w:rPr>
              <w:t>, Мясная продукция</w:t>
            </w:r>
          </w:p>
        </w:tc>
        <w:tc>
          <w:tcPr>
            <w:tcW w:w="3210" w:type="dxa"/>
          </w:tcPr>
          <w:p w:rsidR="00EF04F6" w:rsidRPr="00D01EFE" w:rsidRDefault="00153C10" w:rsidP="00D01EFE">
            <w:pPr>
              <w:jc w:val="center"/>
              <w:rPr>
                <w:sz w:val="28"/>
                <w:szCs w:val="28"/>
              </w:rPr>
            </w:pPr>
            <w:r w:rsidRPr="00D01EFE">
              <w:rPr>
                <w:sz w:val="28"/>
                <w:szCs w:val="28"/>
              </w:rPr>
              <w:t>1,5</w:t>
            </w:r>
          </w:p>
        </w:tc>
      </w:tr>
      <w:tr w:rsidR="00EF04F6" w:rsidTr="00B26AB3">
        <w:tc>
          <w:tcPr>
            <w:tcW w:w="704" w:type="dxa"/>
          </w:tcPr>
          <w:p w:rsidR="00EF04F6" w:rsidRDefault="00EF04F6" w:rsidP="00B26AB3">
            <w:pPr>
              <w:rPr>
                <w:color w:val="000000"/>
                <w:sz w:val="28"/>
                <w:szCs w:val="28"/>
              </w:rPr>
            </w:pPr>
            <w:r>
              <w:rPr>
                <w:color w:val="000000"/>
                <w:sz w:val="28"/>
                <w:szCs w:val="28"/>
              </w:rPr>
              <w:t>2.6</w:t>
            </w:r>
          </w:p>
        </w:tc>
        <w:tc>
          <w:tcPr>
            <w:tcW w:w="5670" w:type="dxa"/>
          </w:tcPr>
          <w:p w:rsidR="00EF04F6" w:rsidRDefault="00EF04F6" w:rsidP="00B26AB3">
            <w:pPr>
              <w:rPr>
                <w:color w:val="000000"/>
                <w:sz w:val="28"/>
                <w:szCs w:val="28"/>
              </w:rPr>
            </w:pPr>
            <w:r>
              <w:rPr>
                <w:color w:val="000000"/>
                <w:sz w:val="28"/>
                <w:szCs w:val="28"/>
              </w:rPr>
              <w:t>Квас</w:t>
            </w:r>
          </w:p>
        </w:tc>
        <w:tc>
          <w:tcPr>
            <w:tcW w:w="3210" w:type="dxa"/>
          </w:tcPr>
          <w:p w:rsidR="00EF04F6" w:rsidRPr="00D01EFE" w:rsidRDefault="00153C10" w:rsidP="00D01EFE">
            <w:pPr>
              <w:jc w:val="center"/>
              <w:rPr>
                <w:sz w:val="28"/>
                <w:szCs w:val="28"/>
              </w:rPr>
            </w:pPr>
            <w:r w:rsidRPr="00D01EFE">
              <w:rPr>
                <w:sz w:val="28"/>
                <w:szCs w:val="28"/>
              </w:rPr>
              <w:t>1</w:t>
            </w:r>
          </w:p>
        </w:tc>
      </w:tr>
      <w:tr w:rsidR="00EF04F6" w:rsidTr="00B26AB3">
        <w:tc>
          <w:tcPr>
            <w:tcW w:w="704" w:type="dxa"/>
          </w:tcPr>
          <w:p w:rsidR="00EF04F6" w:rsidRDefault="00EF04F6" w:rsidP="00B26AB3">
            <w:pPr>
              <w:rPr>
                <w:color w:val="000000"/>
                <w:sz w:val="28"/>
                <w:szCs w:val="28"/>
              </w:rPr>
            </w:pPr>
            <w:r>
              <w:rPr>
                <w:color w:val="000000"/>
                <w:sz w:val="28"/>
                <w:szCs w:val="28"/>
              </w:rPr>
              <w:t>2.7</w:t>
            </w:r>
          </w:p>
        </w:tc>
        <w:tc>
          <w:tcPr>
            <w:tcW w:w="5670" w:type="dxa"/>
          </w:tcPr>
          <w:p w:rsidR="00EF04F6" w:rsidRDefault="00EF04F6" w:rsidP="00B26AB3">
            <w:pPr>
              <w:rPr>
                <w:color w:val="000000"/>
                <w:sz w:val="28"/>
                <w:szCs w:val="28"/>
              </w:rPr>
            </w:pPr>
            <w:r>
              <w:rPr>
                <w:color w:val="000000"/>
                <w:sz w:val="28"/>
                <w:szCs w:val="28"/>
              </w:rPr>
              <w:t>Живые ели</w:t>
            </w:r>
            <w:r w:rsidR="007168B4">
              <w:rPr>
                <w:color w:val="000000"/>
                <w:sz w:val="28"/>
                <w:szCs w:val="28"/>
              </w:rPr>
              <w:t xml:space="preserve"> (сосны), сажен</w:t>
            </w:r>
            <w:r w:rsidR="00153C10">
              <w:rPr>
                <w:color w:val="000000"/>
                <w:sz w:val="28"/>
                <w:szCs w:val="28"/>
              </w:rPr>
              <w:t>цы деревьев</w:t>
            </w:r>
          </w:p>
        </w:tc>
        <w:tc>
          <w:tcPr>
            <w:tcW w:w="3210" w:type="dxa"/>
          </w:tcPr>
          <w:p w:rsidR="00EF04F6" w:rsidRPr="00D01EFE" w:rsidRDefault="00EF04F6" w:rsidP="00EF04F6">
            <w:pPr>
              <w:jc w:val="center"/>
              <w:rPr>
                <w:sz w:val="28"/>
                <w:szCs w:val="28"/>
              </w:rPr>
            </w:pPr>
            <w:r w:rsidRPr="00D01EFE">
              <w:rPr>
                <w:sz w:val="28"/>
                <w:szCs w:val="28"/>
              </w:rPr>
              <w:t>1,5</w:t>
            </w:r>
          </w:p>
        </w:tc>
      </w:tr>
    </w:tbl>
    <w:p w:rsidR="00D24B39" w:rsidRDefault="00D24B39" w:rsidP="003B70B4">
      <w:pPr>
        <w:pStyle w:val="ConsPlusNormal"/>
        <w:jc w:val="both"/>
        <w:rPr>
          <w:sz w:val="24"/>
          <w:szCs w:val="24"/>
        </w:rPr>
      </w:pPr>
    </w:p>
    <w:p w:rsidR="007D4ADE" w:rsidRDefault="007D4ADE" w:rsidP="003B70B4">
      <w:pPr>
        <w:pStyle w:val="ConsPlusNormal"/>
        <w:jc w:val="both"/>
        <w:rPr>
          <w:color w:val="000000"/>
          <w:szCs w:val="28"/>
        </w:rPr>
      </w:pPr>
      <w:r>
        <w:rPr>
          <w:color w:val="000000"/>
          <w:szCs w:val="28"/>
        </w:rPr>
        <w:t>Вид деятельности нестационарного объекта определяется</w:t>
      </w:r>
      <w:r w:rsidRPr="005E5EB6">
        <w:rPr>
          <w:color w:val="000000"/>
          <w:szCs w:val="28"/>
        </w:rPr>
        <w:t>:</w:t>
      </w:r>
      <w:r>
        <w:rPr>
          <w:color w:val="000000"/>
          <w:szCs w:val="28"/>
        </w:rPr>
        <w:t xml:space="preserve"> более 50% товара  к реализации выбранной категории.</w:t>
      </w:r>
    </w:p>
    <w:p w:rsidR="00BC1B0E" w:rsidRDefault="00BC1B0E" w:rsidP="003B70B4">
      <w:pPr>
        <w:pStyle w:val="ConsPlusNormal"/>
        <w:jc w:val="both"/>
        <w:rPr>
          <w:szCs w:val="28"/>
        </w:rPr>
      </w:pPr>
      <w:r>
        <w:rPr>
          <w:sz w:val="24"/>
          <w:szCs w:val="24"/>
        </w:rPr>
        <w:tab/>
      </w:r>
      <w:r w:rsidRPr="00BC1B0E">
        <w:rPr>
          <w:szCs w:val="28"/>
        </w:rPr>
        <w:t>Размер годовой платы за размещение нестационарного торгового объекта во второй  год действия договора определяется по формуле:</w:t>
      </w:r>
    </w:p>
    <w:p w:rsidR="00BC1B0E" w:rsidRPr="00BC1B0E" w:rsidRDefault="00BC1B0E" w:rsidP="003B70B4">
      <w:pPr>
        <w:pStyle w:val="ConsPlusNormal"/>
        <w:jc w:val="both"/>
        <w:rPr>
          <w:sz w:val="20"/>
          <w:szCs w:val="28"/>
        </w:rPr>
      </w:pPr>
    </w:p>
    <w:p w:rsidR="00BC1B0E" w:rsidRDefault="00BC1B0E" w:rsidP="00BC1B0E">
      <w:pPr>
        <w:pStyle w:val="ConsPlusNormal"/>
        <w:jc w:val="center"/>
        <w:rPr>
          <w:szCs w:val="28"/>
        </w:rPr>
      </w:pPr>
      <w:r>
        <w:rPr>
          <w:szCs w:val="28"/>
        </w:rPr>
        <w:t>РП</w:t>
      </w:r>
      <w:proofErr w:type="gramStart"/>
      <w:r w:rsidRPr="00BC1B0E">
        <w:rPr>
          <w:sz w:val="18"/>
          <w:szCs w:val="28"/>
        </w:rPr>
        <w:t>2</w:t>
      </w:r>
      <w:proofErr w:type="gramEnd"/>
      <w:r w:rsidRPr="00BC1B0E">
        <w:rPr>
          <w:sz w:val="18"/>
          <w:szCs w:val="28"/>
        </w:rPr>
        <w:t xml:space="preserve"> </w:t>
      </w:r>
      <w:r>
        <w:rPr>
          <w:szCs w:val="28"/>
        </w:rPr>
        <w:t>= РП</w:t>
      </w:r>
      <w:r w:rsidRPr="00BC1B0E">
        <w:rPr>
          <w:sz w:val="20"/>
          <w:szCs w:val="28"/>
        </w:rPr>
        <w:t>1</w:t>
      </w:r>
      <w:r>
        <w:rPr>
          <w:szCs w:val="28"/>
        </w:rPr>
        <w:t xml:space="preserve"> + Ки, где</w:t>
      </w:r>
    </w:p>
    <w:p w:rsidR="00BC1B0E" w:rsidRPr="00BC1B0E" w:rsidRDefault="00BC1B0E" w:rsidP="00BC1B0E">
      <w:pPr>
        <w:pStyle w:val="ConsPlusNormal"/>
        <w:jc w:val="center"/>
        <w:rPr>
          <w:sz w:val="22"/>
          <w:szCs w:val="28"/>
        </w:rPr>
      </w:pPr>
    </w:p>
    <w:p w:rsidR="00BC1B0E" w:rsidRDefault="00BC1B0E" w:rsidP="00BC1B0E">
      <w:pPr>
        <w:pStyle w:val="ConsPlusNormal"/>
        <w:jc w:val="both"/>
        <w:rPr>
          <w:szCs w:val="28"/>
        </w:rPr>
      </w:pPr>
      <w:r>
        <w:rPr>
          <w:szCs w:val="28"/>
        </w:rPr>
        <w:tab/>
        <w:t>РП</w:t>
      </w:r>
      <w:proofErr w:type="gramStart"/>
      <w:r w:rsidRPr="00BC1B0E">
        <w:rPr>
          <w:sz w:val="20"/>
          <w:szCs w:val="28"/>
        </w:rPr>
        <w:t>1</w:t>
      </w:r>
      <w:proofErr w:type="gramEnd"/>
      <w:r>
        <w:rPr>
          <w:szCs w:val="28"/>
        </w:rPr>
        <w:t xml:space="preserve"> – размер годовой платы за размещение нестационарного торгового объекта в первый год действия договора;</w:t>
      </w:r>
    </w:p>
    <w:p w:rsidR="00BC1B0E" w:rsidRDefault="00BC1B0E" w:rsidP="00BC1B0E">
      <w:pPr>
        <w:pStyle w:val="ConsPlusNormal"/>
        <w:ind w:firstLine="708"/>
        <w:jc w:val="both"/>
        <w:rPr>
          <w:szCs w:val="28"/>
        </w:rPr>
      </w:pPr>
      <w:r>
        <w:rPr>
          <w:szCs w:val="28"/>
        </w:rPr>
        <w:t>Ки – коэффициент уровня инфляции, установленный федеральным законом о федеральном бюджете на очередной финансовый год и плановый период.</w:t>
      </w:r>
    </w:p>
    <w:p w:rsidR="00BC1B0E" w:rsidRDefault="00BC1B0E" w:rsidP="00BC1B0E">
      <w:pPr>
        <w:pStyle w:val="ConsPlusNormal"/>
        <w:ind w:firstLine="708"/>
        <w:jc w:val="both"/>
        <w:rPr>
          <w:szCs w:val="28"/>
        </w:rPr>
      </w:pPr>
      <w:r>
        <w:rPr>
          <w:szCs w:val="28"/>
        </w:rPr>
        <w:t>В третий и последующие годы действия договора размер годовой платы за размещение нестационарного торгового объекта определяется путем умножения размера годовой платы за размещение нестационарного торгового объекта, рассчитанного за прошедший год, на коэффициент уровня инфляции, установленный федеральным законом о федеральном бюджете на очередной финансовый год и плановый период.</w:t>
      </w:r>
    </w:p>
    <w:p w:rsidR="00BC1B0E" w:rsidRDefault="00BC1B0E" w:rsidP="00BC1B0E">
      <w:pPr>
        <w:pStyle w:val="ConsPlusNormal"/>
        <w:ind w:firstLine="708"/>
        <w:jc w:val="both"/>
        <w:rPr>
          <w:szCs w:val="28"/>
        </w:rPr>
      </w:pPr>
    </w:p>
    <w:p w:rsidR="00FE53A8" w:rsidRPr="00FE53A8" w:rsidRDefault="00FE53A8" w:rsidP="00FE53A8">
      <w:pPr>
        <w:tabs>
          <w:tab w:val="left" w:pos="2160"/>
        </w:tabs>
        <w:jc w:val="center"/>
        <w:rPr>
          <w:b/>
          <w:sz w:val="28"/>
        </w:rPr>
      </w:pPr>
    </w:p>
    <w:sectPr w:rsidR="00FE53A8" w:rsidRPr="00FE53A8" w:rsidSect="00E16388">
      <w:pgSz w:w="11906" w:h="16838"/>
      <w:pgMar w:top="1134" w:right="850" w:bottom="1134" w:left="1701" w:header="567" w:footer="624"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254D" w:rsidRDefault="0001254D" w:rsidP="00AC60CB">
      <w:r>
        <w:separator/>
      </w:r>
    </w:p>
  </w:endnote>
  <w:endnote w:type="continuationSeparator" w:id="0">
    <w:p w:rsidR="0001254D" w:rsidRDefault="0001254D" w:rsidP="00AC6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254D" w:rsidRDefault="0001254D" w:rsidP="00AC60CB">
      <w:r>
        <w:separator/>
      </w:r>
    </w:p>
  </w:footnote>
  <w:footnote w:type="continuationSeparator" w:id="0">
    <w:p w:rsidR="0001254D" w:rsidRDefault="0001254D" w:rsidP="00AC60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617E33"/>
    <w:multiLevelType w:val="hybridMultilevel"/>
    <w:tmpl w:val="A4FAAF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CF17E75"/>
    <w:multiLevelType w:val="multilevel"/>
    <w:tmpl w:val="FCD04EC6"/>
    <w:lvl w:ilvl="0">
      <w:start w:val="1"/>
      <w:numFmt w:val="decimal"/>
      <w:lvlText w:val="%1."/>
      <w:lvlJc w:val="left"/>
      <w:pPr>
        <w:ind w:left="1068" w:hanging="360"/>
      </w:pPr>
      <w:rPr>
        <w:rFonts w:hint="default"/>
      </w:rPr>
    </w:lvl>
    <w:lvl w:ilvl="1">
      <w:start w:val="1"/>
      <w:numFmt w:val="decimal"/>
      <w:isLgl/>
      <w:lvlText w:val="%1.%2."/>
      <w:lvlJc w:val="left"/>
      <w:pPr>
        <w:ind w:left="1788" w:hanging="72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868" w:hanging="108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948" w:hanging="1440"/>
      </w:pPr>
      <w:rPr>
        <w:rFonts w:hint="default"/>
      </w:rPr>
    </w:lvl>
    <w:lvl w:ilvl="6">
      <w:start w:val="1"/>
      <w:numFmt w:val="decimal"/>
      <w:isLgl/>
      <w:lvlText w:val="%1.%2.%3.%4.%5.%6.%7."/>
      <w:lvlJc w:val="left"/>
      <w:pPr>
        <w:ind w:left="4668" w:hanging="1800"/>
      </w:pPr>
      <w:rPr>
        <w:rFonts w:hint="default"/>
      </w:rPr>
    </w:lvl>
    <w:lvl w:ilvl="7">
      <w:start w:val="1"/>
      <w:numFmt w:val="decimal"/>
      <w:isLgl/>
      <w:lvlText w:val="%1.%2.%3.%4.%5.%6.%7.%8."/>
      <w:lvlJc w:val="left"/>
      <w:pPr>
        <w:ind w:left="5028" w:hanging="1800"/>
      </w:pPr>
      <w:rPr>
        <w:rFonts w:hint="default"/>
      </w:rPr>
    </w:lvl>
    <w:lvl w:ilvl="8">
      <w:start w:val="1"/>
      <w:numFmt w:val="decimal"/>
      <w:isLgl/>
      <w:lvlText w:val="%1.%2.%3.%4.%5.%6.%7.%8.%9."/>
      <w:lvlJc w:val="left"/>
      <w:pPr>
        <w:ind w:left="5748"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84B"/>
    <w:rsid w:val="00002C1C"/>
    <w:rsid w:val="0001254D"/>
    <w:rsid w:val="00014CA3"/>
    <w:rsid w:val="00032D14"/>
    <w:rsid w:val="000359BD"/>
    <w:rsid w:val="000419E7"/>
    <w:rsid w:val="00047592"/>
    <w:rsid w:val="00051C88"/>
    <w:rsid w:val="00057F3F"/>
    <w:rsid w:val="0006346D"/>
    <w:rsid w:val="00063710"/>
    <w:rsid w:val="00081030"/>
    <w:rsid w:val="00085D57"/>
    <w:rsid w:val="00085D90"/>
    <w:rsid w:val="0008635D"/>
    <w:rsid w:val="0009303C"/>
    <w:rsid w:val="000B145B"/>
    <w:rsid w:val="000B5A32"/>
    <w:rsid w:val="000C0A45"/>
    <w:rsid w:val="000D2916"/>
    <w:rsid w:val="000D5AAB"/>
    <w:rsid w:val="00101BA1"/>
    <w:rsid w:val="00110F68"/>
    <w:rsid w:val="0012298F"/>
    <w:rsid w:val="001246C9"/>
    <w:rsid w:val="00131B76"/>
    <w:rsid w:val="001402CD"/>
    <w:rsid w:val="001428C9"/>
    <w:rsid w:val="00153C10"/>
    <w:rsid w:val="001557AC"/>
    <w:rsid w:val="00164E03"/>
    <w:rsid w:val="00164F6C"/>
    <w:rsid w:val="001668E2"/>
    <w:rsid w:val="00172635"/>
    <w:rsid w:val="00175E23"/>
    <w:rsid w:val="00176237"/>
    <w:rsid w:val="00177972"/>
    <w:rsid w:val="001A247F"/>
    <w:rsid w:val="001A430C"/>
    <w:rsid w:val="001A6B8F"/>
    <w:rsid w:val="001B5A9A"/>
    <w:rsid w:val="001B6008"/>
    <w:rsid w:val="001C1177"/>
    <w:rsid w:val="001C24D2"/>
    <w:rsid w:val="001C690D"/>
    <w:rsid w:val="001D6E42"/>
    <w:rsid w:val="001E2884"/>
    <w:rsid w:val="001E3604"/>
    <w:rsid w:val="001E4576"/>
    <w:rsid w:val="00204B90"/>
    <w:rsid w:val="00216E16"/>
    <w:rsid w:val="0023217E"/>
    <w:rsid w:val="00237E40"/>
    <w:rsid w:val="00243FDF"/>
    <w:rsid w:val="00245FF1"/>
    <w:rsid w:val="00246939"/>
    <w:rsid w:val="00256C3F"/>
    <w:rsid w:val="00265D0A"/>
    <w:rsid w:val="002674D4"/>
    <w:rsid w:val="0028305E"/>
    <w:rsid w:val="00283998"/>
    <w:rsid w:val="00291845"/>
    <w:rsid w:val="002955C5"/>
    <w:rsid w:val="002A204E"/>
    <w:rsid w:val="002A6FC8"/>
    <w:rsid w:val="002C1135"/>
    <w:rsid w:val="002C5C9B"/>
    <w:rsid w:val="002C796B"/>
    <w:rsid w:val="002D177C"/>
    <w:rsid w:val="002D346B"/>
    <w:rsid w:val="002D3C2F"/>
    <w:rsid w:val="002D4DBB"/>
    <w:rsid w:val="002D63FB"/>
    <w:rsid w:val="002D705D"/>
    <w:rsid w:val="00305381"/>
    <w:rsid w:val="00320222"/>
    <w:rsid w:val="00321591"/>
    <w:rsid w:val="003268D3"/>
    <w:rsid w:val="00330D1C"/>
    <w:rsid w:val="00361478"/>
    <w:rsid w:val="0036412B"/>
    <w:rsid w:val="003659CF"/>
    <w:rsid w:val="0037199E"/>
    <w:rsid w:val="003768C9"/>
    <w:rsid w:val="00377251"/>
    <w:rsid w:val="00380FD0"/>
    <w:rsid w:val="0038279A"/>
    <w:rsid w:val="003831F3"/>
    <w:rsid w:val="00387451"/>
    <w:rsid w:val="003A68F9"/>
    <w:rsid w:val="003B000C"/>
    <w:rsid w:val="003B2C4A"/>
    <w:rsid w:val="003B3291"/>
    <w:rsid w:val="003B70B4"/>
    <w:rsid w:val="003D3F1E"/>
    <w:rsid w:val="003D6222"/>
    <w:rsid w:val="003E3BF9"/>
    <w:rsid w:val="003E5136"/>
    <w:rsid w:val="003F0660"/>
    <w:rsid w:val="00417340"/>
    <w:rsid w:val="0042089F"/>
    <w:rsid w:val="00422F88"/>
    <w:rsid w:val="00423324"/>
    <w:rsid w:val="004310DE"/>
    <w:rsid w:val="00440659"/>
    <w:rsid w:val="00452F92"/>
    <w:rsid w:val="00466A02"/>
    <w:rsid w:val="004A5C05"/>
    <w:rsid w:val="004E4403"/>
    <w:rsid w:val="00502FE8"/>
    <w:rsid w:val="00503684"/>
    <w:rsid w:val="00505B4A"/>
    <w:rsid w:val="00510582"/>
    <w:rsid w:val="00511EFD"/>
    <w:rsid w:val="00523820"/>
    <w:rsid w:val="005316CA"/>
    <w:rsid w:val="005364FA"/>
    <w:rsid w:val="00541256"/>
    <w:rsid w:val="005423FD"/>
    <w:rsid w:val="00544F2A"/>
    <w:rsid w:val="0055238D"/>
    <w:rsid w:val="00554707"/>
    <w:rsid w:val="0058284B"/>
    <w:rsid w:val="00582FC9"/>
    <w:rsid w:val="00594C67"/>
    <w:rsid w:val="00595D72"/>
    <w:rsid w:val="005C020C"/>
    <w:rsid w:val="005C20ED"/>
    <w:rsid w:val="005C7E5F"/>
    <w:rsid w:val="005D0FE8"/>
    <w:rsid w:val="005E334C"/>
    <w:rsid w:val="005E4BA0"/>
    <w:rsid w:val="005E5EB6"/>
    <w:rsid w:val="005F753D"/>
    <w:rsid w:val="0060425A"/>
    <w:rsid w:val="00605A33"/>
    <w:rsid w:val="00620CEE"/>
    <w:rsid w:val="006234EA"/>
    <w:rsid w:val="00631A91"/>
    <w:rsid w:val="00643A3D"/>
    <w:rsid w:val="00654B84"/>
    <w:rsid w:val="00662739"/>
    <w:rsid w:val="0067779C"/>
    <w:rsid w:val="00681C65"/>
    <w:rsid w:val="00687F32"/>
    <w:rsid w:val="0069203A"/>
    <w:rsid w:val="0069554B"/>
    <w:rsid w:val="006B4CF1"/>
    <w:rsid w:val="006C0A76"/>
    <w:rsid w:val="006C0C19"/>
    <w:rsid w:val="006D5791"/>
    <w:rsid w:val="006D5B94"/>
    <w:rsid w:val="006E4BB1"/>
    <w:rsid w:val="006E60FB"/>
    <w:rsid w:val="006E763E"/>
    <w:rsid w:val="006F20DB"/>
    <w:rsid w:val="007125B3"/>
    <w:rsid w:val="00714763"/>
    <w:rsid w:val="00715C5D"/>
    <w:rsid w:val="007168B4"/>
    <w:rsid w:val="00725D16"/>
    <w:rsid w:val="00735A52"/>
    <w:rsid w:val="00737707"/>
    <w:rsid w:val="0075100B"/>
    <w:rsid w:val="00751801"/>
    <w:rsid w:val="00763FE8"/>
    <w:rsid w:val="007753FD"/>
    <w:rsid w:val="007802B8"/>
    <w:rsid w:val="00781111"/>
    <w:rsid w:val="00783232"/>
    <w:rsid w:val="00784DEC"/>
    <w:rsid w:val="00786F65"/>
    <w:rsid w:val="007B2810"/>
    <w:rsid w:val="007B7C0F"/>
    <w:rsid w:val="007C02C1"/>
    <w:rsid w:val="007C1D8F"/>
    <w:rsid w:val="007C2F77"/>
    <w:rsid w:val="007C454E"/>
    <w:rsid w:val="007C73CC"/>
    <w:rsid w:val="007D4ADE"/>
    <w:rsid w:val="007F0D21"/>
    <w:rsid w:val="00815949"/>
    <w:rsid w:val="00823900"/>
    <w:rsid w:val="008322A5"/>
    <w:rsid w:val="00836B90"/>
    <w:rsid w:val="00843D68"/>
    <w:rsid w:val="00847330"/>
    <w:rsid w:val="00860A0B"/>
    <w:rsid w:val="00862FBE"/>
    <w:rsid w:val="00866949"/>
    <w:rsid w:val="00870891"/>
    <w:rsid w:val="008733E1"/>
    <w:rsid w:val="00877ED0"/>
    <w:rsid w:val="008806E7"/>
    <w:rsid w:val="00884D00"/>
    <w:rsid w:val="008A6E3C"/>
    <w:rsid w:val="008B5278"/>
    <w:rsid w:val="008C4E08"/>
    <w:rsid w:val="008D3311"/>
    <w:rsid w:val="008D51ED"/>
    <w:rsid w:val="008E6F0B"/>
    <w:rsid w:val="008F0412"/>
    <w:rsid w:val="009037E1"/>
    <w:rsid w:val="0090505E"/>
    <w:rsid w:val="00913E58"/>
    <w:rsid w:val="00917BE5"/>
    <w:rsid w:val="009228C6"/>
    <w:rsid w:val="0092770C"/>
    <w:rsid w:val="009343C6"/>
    <w:rsid w:val="00936590"/>
    <w:rsid w:val="00944E27"/>
    <w:rsid w:val="00952014"/>
    <w:rsid w:val="00983BA4"/>
    <w:rsid w:val="009862C9"/>
    <w:rsid w:val="00992A7C"/>
    <w:rsid w:val="009A03C3"/>
    <w:rsid w:val="009A26C3"/>
    <w:rsid w:val="009B1A0F"/>
    <w:rsid w:val="009B5272"/>
    <w:rsid w:val="009C571B"/>
    <w:rsid w:val="009C72BB"/>
    <w:rsid w:val="009D0818"/>
    <w:rsid w:val="009D2998"/>
    <w:rsid w:val="009D40A1"/>
    <w:rsid w:val="009D58B5"/>
    <w:rsid w:val="009E479C"/>
    <w:rsid w:val="009F13C5"/>
    <w:rsid w:val="009F215A"/>
    <w:rsid w:val="009F42ED"/>
    <w:rsid w:val="00A10709"/>
    <w:rsid w:val="00A11748"/>
    <w:rsid w:val="00A211DA"/>
    <w:rsid w:val="00A32C6F"/>
    <w:rsid w:val="00A46112"/>
    <w:rsid w:val="00A54B69"/>
    <w:rsid w:val="00A558BE"/>
    <w:rsid w:val="00A601F3"/>
    <w:rsid w:val="00A6600D"/>
    <w:rsid w:val="00A727CA"/>
    <w:rsid w:val="00A74F0A"/>
    <w:rsid w:val="00A86271"/>
    <w:rsid w:val="00A92BFC"/>
    <w:rsid w:val="00A949F3"/>
    <w:rsid w:val="00AB39D5"/>
    <w:rsid w:val="00AC1FD0"/>
    <w:rsid w:val="00AC2A20"/>
    <w:rsid w:val="00AC60CB"/>
    <w:rsid w:val="00AC6627"/>
    <w:rsid w:val="00AE2329"/>
    <w:rsid w:val="00AF3353"/>
    <w:rsid w:val="00B12221"/>
    <w:rsid w:val="00B15DD6"/>
    <w:rsid w:val="00B16C60"/>
    <w:rsid w:val="00B24968"/>
    <w:rsid w:val="00B24F0D"/>
    <w:rsid w:val="00B26AB3"/>
    <w:rsid w:val="00B375D0"/>
    <w:rsid w:val="00B42D8D"/>
    <w:rsid w:val="00B466B5"/>
    <w:rsid w:val="00B53CAA"/>
    <w:rsid w:val="00B53D17"/>
    <w:rsid w:val="00B60A5B"/>
    <w:rsid w:val="00B705ED"/>
    <w:rsid w:val="00B718FF"/>
    <w:rsid w:val="00B767E2"/>
    <w:rsid w:val="00B81077"/>
    <w:rsid w:val="00B81BDE"/>
    <w:rsid w:val="00B90852"/>
    <w:rsid w:val="00B921AA"/>
    <w:rsid w:val="00B930F1"/>
    <w:rsid w:val="00B93447"/>
    <w:rsid w:val="00B9391C"/>
    <w:rsid w:val="00BB72A3"/>
    <w:rsid w:val="00BC1B0E"/>
    <w:rsid w:val="00BE60B7"/>
    <w:rsid w:val="00BE6268"/>
    <w:rsid w:val="00BE6462"/>
    <w:rsid w:val="00BF39A3"/>
    <w:rsid w:val="00C105E6"/>
    <w:rsid w:val="00C326FF"/>
    <w:rsid w:val="00C41067"/>
    <w:rsid w:val="00C47764"/>
    <w:rsid w:val="00C50D64"/>
    <w:rsid w:val="00C550AC"/>
    <w:rsid w:val="00C8087C"/>
    <w:rsid w:val="00C939E1"/>
    <w:rsid w:val="00C93E71"/>
    <w:rsid w:val="00CA0CD2"/>
    <w:rsid w:val="00CA16D6"/>
    <w:rsid w:val="00CA1E30"/>
    <w:rsid w:val="00CA7D87"/>
    <w:rsid w:val="00CB30CC"/>
    <w:rsid w:val="00CE76E6"/>
    <w:rsid w:val="00CF1D44"/>
    <w:rsid w:val="00CF2C36"/>
    <w:rsid w:val="00CF43B3"/>
    <w:rsid w:val="00D01EFE"/>
    <w:rsid w:val="00D051D1"/>
    <w:rsid w:val="00D11675"/>
    <w:rsid w:val="00D209BF"/>
    <w:rsid w:val="00D218AA"/>
    <w:rsid w:val="00D24B39"/>
    <w:rsid w:val="00D34758"/>
    <w:rsid w:val="00D43974"/>
    <w:rsid w:val="00D5240F"/>
    <w:rsid w:val="00D54D18"/>
    <w:rsid w:val="00D61238"/>
    <w:rsid w:val="00D6187C"/>
    <w:rsid w:val="00D61BEC"/>
    <w:rsid w:val="00D647D1"/>
    <w:rsid w:val="00D744D9"/>
    <w:rsid w:val="00D75A12"/>
    <w:rsid w:val="00D85FA9"/>
    <w:rsid w:val="00D86392"/>
    <w:rsid w:val="00D95868"/>
    <w:rsid w:val="00DA2566"/>
    <w:rsid w:val="00DC6E28"/>
    <w:rsid w:val="00DD1633"/>
    <w:rsid w:val="00DD377D"/>
    <w:rsid w:val="00DD7E7A"/>
    <w:rsid w:val="00DE3E0C"/>
    <w:rsid w:val="00DE7A21"/>
    <w:rsid w:val="00DE7C22"/>
    <w:rsid w:val="00DF166F"/>
    <w:rsid w:val="00DF2472"/>
    <w:rsid w:val="00E01502"/>
    <w:rsid w:val="00E02D18"/>
    <w:rsid w:val="00E0445C"/>
    <w:rsid w:val="00E05D1F"/>
    <w:rsid w:val="00E16388"/>
    <w:rsid w:val="00E166E0"/>
    <w:rsid w:val="00E30D38"/>
    <w:rsid w:val="00E445FF"/>
    <w:rsid w:val="00E505B8"/>
    <w:rsid w:val="00E53FA9"/>
    <w:rsid w:val="00E62497"/>
    <w:rsid w:val="00E675BB"/>
    <w:rsid w:val="00E73DFA"/>
    <w:rsid w:val="00E73E28"/>
    <w:rsid w:val="00E8260B"/>
    <w:rsid w:val="00E85AF3"/>
    <w:rsid w:val="00E953E6"/>
    <w:rsid w:val="00EB198D"/>
    <w:rsid w:val="00EC1E0D"/>
    <w:rsid w:val="00ED0F1A"/>
    <w:rsid w:val="00ED39C4"/>
    <w:rsid w:val="00ED654B"/>
    <w:rsid w:val="00EF04F6"/>
    <w:rsid w:val="00F02AF2"/>
    <w:rsid w:val="00F04D87"/>
    <w:rsid w:val="00F11CDF"/>
    <w:rsid w:val="00F130B4"/>
    <w:rsid w:val="00F21B6F"/>
    <w:rsid w:val="00F2486C"/>
    <w:rsid w:val="00F43FD8"/>
    <w:rsid w:val="00F45374"/>
    <w:rsid w:val="00F6345C"/>
    <w:rsid w:val="00F67956"/>
    <w:rsid w:val="00F720FD"/>
    <w:rsid w:val="00F73785"/>
    <w:rsid w:val="00FA3385"/>
    <w:rsid w:val="00FA6687"/>
    <w:rsid w:val="00FB2343"/>
    <w:rsid w:val="00FB42F5"/>
    <w:rsid w:val="00FC7503"/>
    <w:rsid w:val="00FD17FF"/>
    <w:rsid w:val="00FD762D"/>
    <w:rsid w:val="00FE53A8"/>
    <w:rsid w:val="00FF172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8"/>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84B"/>
    <w:pPr>
      <w:jc w:val="left"/>
    </w:pPr>
    <w:rPr>
      <w:rFonts w:eastAsia="Times New Roman" w:cs="Times New Roman"/>
      <w:sz w:val="24"/>
      <w:szCs w:val="24"/>
      <w:lang w:eastAsia="ru-RU"/>
    </w:rPr>
  </w:style>
  <w:style w:type="paragraph" w:styleId="1">
    <w:name w:val="heading 1"/>
    <w:basedOn w:val="a"/>
    <w:next w:val="a"/>
    <w:link w:val="10"/>
    <w:uiPriority w:val="9"/>
    <w:qFormat/>
    <w:rsid w:val="00B921A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4">
    <w:name w:val="heading 4"/>
    <w:basedOn w:val="a"/>
    <w:next w:val="a"/>
    <w:link w:val="40"/>
    <w:uiPriority w:val="9"/>
    <w:semiHidden/>
    <w:unhideWhenUsed/>
    <w:qFormat/>
    <w:rsid w:val="00153C10"/>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58284B"/>
    <w:pPr>
      <w:overflowPunct w:val="0"/>
      <w:autoSpaceDE w:val="0"/>
      <w:autoSpaceDN w:val="0"/>
      <w:adjustRightInd w:val="0"/>
      <w:jc w:val="center"/>
      <w:textAlignment w:val="baseline"/>
    </w:pPr>
    <w:rPr>
      <w:b/>
      <w:sz w:val="28"/>
      <w:szCs w:val="20"/>
    </w:rPr>
  </w:style>
  <w:style w:type="paragraph" w:styleId="a4">
    <w:name w:val="Balloon Text"/>
    <w:basedOn w:val="a"/>
    <w:link w:val="a5"/>
    <w:uiPriority w:val="99"/>
    <w:semiHidden/>
    <w:unhideWhenUsed/>
    <w:rsid w:val="0058284B"/>
    <w:rPr>
      <w:rFonts w:ascii="Tahoma" w:hAnsi="Tahoma" w:cs="Tahoma"/>
      <w:sz w:val="16"/>
      <w:szCs w:val="16"/>
    </w:rPr>
  </w:style>
  <w:style w:type="character" w:customStyle="1" w:styleId="a5">
    <w:name w:val="Текст выноски Знак"/>
    <w:basedOn w:val="a0"/>
    <w:link w:val="a4"/>
    <w:uiPriority w:val="99"/>
    <w:semiHidden/>
    <w:rsid w:val="0058284B"/>
    <w:rPr>
      <w:rFonts w:ascii="Tahoma" w:eastAsia="Times New Roman" w:hAnsi="Tahoma" w:cs="Tahoma"/>
      <w:sz w:val="16"/>
      <w:szCs w:val="16"/>
      <w:lang w:eastAsia="ru-RU"/>
    </w:rPr>
  </w:style>
  <w:style w:type="paragraph" w:customStyle="1" w:styleId="ConsPlusNormal">
    <w:name w:val="ConsPlusNormal"/>
    <w:link w:val="ConsPlusNormal0"/>
    <w:rsid w:val="0058284B"/>
    <w:pPr>
      <w:widowControl w:val="0"/>
      <w:autoSpaceDE w:val="0"/>
      <w:autoSpaceDN w:val="0"/>
      <w:jc w:val="left"/>
    </w:pPr>
    <w:rPr>
      <w:rFonts w:eastAsia="Times New Roman" w:cs="Times New Roman"/>
      <w:szCs w:val="20"/>
      <w:lang w:eastAsia="ru-RU"/>
    </w:rPr>
  </w:style>
  <w:style w:type="paragraph" w:customStyle="1" w:styleId="ConsPlusTitle">
    <w:name w:val="ConsPlusTitle"/>
    <w:rsid w:val="0058284B"/>
    <w:pPr>
      <w:widowControl w:val="0"/>
      <w:autoSpaceDE w:val="0"/>
      <w:autoSpaceDN w:val="0"/>
      <w:jc w:val="left"/>
    </w:pPr>
    <w:rPr>
      <w:rFonts w:eastAsia="Times New Roman" w:cs="Times New Roman"/>
      <w:b/>
      <w:szCs w:val="20"/>
      <w:lang w:eastAsia="ru-RU"/>
    </w:rPr>
  </w:style>
  <w:style w:type="paragraph" w:customStyle="1" w:styleId="ConsPlusNonformat">
    <w:name w:val="ConsPlusNonformat"/>
    <w:rsid w:val="0058284B"/>
    <w:pPr>
      <w:widowControl w:val="0"/>
      <w:autoSpaceDE w:val="0"/>
      <w:autoSpaceDN w:val="0"/>
      <w:jc w:val="left"/>
    </w:pPr>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B921AA"/>
    <w:rPr>
      <w:rFonts w:asciiTheme="majorHAnsi" w:eastAsiaTheme="majorEastAsia" w:hAnsiTheme="majorHAnsi" w:cstheme="majorBidi"/>
      <w:color w:val="365F91" w:themeColor="accent1" w:themeShade="BF"/>
      <w:sz w:val="32"/>
      <w:szCs w:val="32"/>
      <w:lang w:eastAsia="ru-RU"/>
    </w:rPr>
  </w:style>
  <w:style w:type="paragraph" w:styleId="a6">
    <w:name w:val="TOC Heading"/>
    <w:basedOn w:val="1"/>
    <w:next w:val="a"/>
    <w:uiPriority w:val="39"/>
    <w:unhideWhenUsed/>
    <w:qFormat/>
    <w:rsid w:val="00B921AA"/>
    <w:pPr>
      <w:spacing w:line="259" w:lineRule="auto"/>
      <w:outlineLvl w:val="9"/>
    </w:pPr>
  </w:style>
  <w:style w:type="paragraph" w:styleId="11">
    <w:name w:val="toc 1"/>
    <w:basedOn w:val="a"/>
    <w:next w:val="a"/>
    <w:autoRedefine/>
    <w:uiPriority w:val="39"/>
    <w:unhideWhenUsed/>
    <w:rsid w:val="00B921AA"/>
    <w:pPr>
      <w:spacing w:after="100"/>
    </w:pPr>
  </w:style>
  <w:style w:type="paragraph" w:styleId="2">
    <w:name w:val="toc 2"/>
    <w:basedOn w:val="a"/>
    <w:next w:val="a"/>
    <w:autoRedefine/>
    <w:uiPriority w:val="39"/>
    <w:unhideWhenUsed/>
    <w:rsid w:val="00B921AA"/>
    <w:pPr>
      <w:spacing w:after="100"/>
      <w:ind w:left="240"/>
    </w:pPr>
  </w:style>
  <w:style w:type="paragraph" w:styleId="3">
    <w:name w:val="toc 3"/>
    <w:basedOn w:val="a"/>
    <w:next w:val="a"/>
    <w:autoRedefine/>
    <w:uiPriority w:val="39"/>
    <w:unhideWhenUsed/>
    <w:rsid w:val="00B921AA"/>
    <w:pPr>
      <w:spacing w:after="100"/>
      <w:ind w:left="480"/>
    </w:pPr>
  </w:style>
  <w:style w:type="character" w:styleId="a7">
    <w:name w:val="Hyperlink"/>
    <w:basedOn w:val="a0"/>
    <w:uiPriority w:val="99"/>
    <w:unhideWhenUsed/>
    <w:rsid w:val="00B921AA"/>
    <w:rPr>
      <w:color w:val="0000FF" w:themeColor="hyperlink"/>
      <w:u w:val="single"/>
    </w:rPr>
  </w:style>
  <w:style w:type="paragraph" w:styleId="a8">
    <w:name w:val="header"/>
    <w:basedOn w:val="a"/>
    <w:link w:val="a9"/>
    <w:uiPriority w:val="99"/>
    <w:unhideWhenUsed/>
    <w:rsid w:val="00AC60CB"/>
    <w:pPr>
      <w:tabs>
        <w:tab w:val="center" w:pos="4677"/>
        <w:tab w:val="right" w:pos="9355"/>
      </w:tabs>
    </w:pPr>
  </w:style>
  <w:style w:type="character" w:customStyle="1" w:styleId="a9">
    <w:name w:val="Верхний колонтитул Знак"/>
    <w:basedOn w:val="a0"/>
    <w:link w:val="a8"/>
    <w:uiPriority w:val="99"/>
    <w:rsid w:val="00AC60CB"/>
    <w:rPr>
      <w:rFonts w:eastAsia="Times New Roman" w:cs="Times New Roman"/>
      <w:sz w:val="24"/>
      <w:szCs w:val="24"/>
      <w:lang w:eastAsia="ru-RU"/>
    </w:rPr>
  </w:style>
  <w:style w:type="paragraph" w:styleId="aa">
    <w:name w:val="footer"/>
    <w:basedOn w:val="a"/>
    <w:link w:val="ab"/>
    <w:uiPriority w:val="99"/>
    <w:unhideWhenUsed/>
    <w:rsid w:val="00AC60CB"/>
    <w:pPr>
      <w:tabs>
        <w:tab w:val="center" w:pos="4677"/>
        <w:tab w:val="right" w:pos="9355"/>
      </w:tabs>
    </w:pPr>
  </w:style>
  <w:style w:type="character" w:customStyle="1" w:styleId="ab">
    <w:name w:val="Нижний колонтитул Знак"/>
    <w:basedOn w:val="a0"/>
    <w:link w:val="aa"/>
    <w:uiPriority w:val="99"/>
    <w:rsid w:val="00AC60CB"/>
    <w:rPr>
      <w:rFonts w:eastAsia="Times New Roman" w:cs="Times New Roman"/>
      <w:sz w:val="24"/>
      <w:szCs w:val="24"/>
      <w:lang w:eastAsia="ru-RU"/>
    </w:rPr>
  </w:style>
  <w:style w:type="table" w:styleId="ac">
    <w:name w:val="Table Grid"/>
    <w:basedOn w:val="a1"/>
    <w:uiPriority w:val="59"/>
    <w:rsid w:val="00C550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basedOn w:val="a"/>
    <w:uiPriority w:val="99"/>
    <w:unhideWhenUsed/>
    <w:rsid w:val="00F21B6F"/>
    <w:pPr>
      <w:spacing w:before="100" w:beforeAutospacing="1" w:after="100" w:afterAutospacing="1"/>
    </w:pPr>
  </w:style>
  <w:style w:type="paragraph" w:styleId="ae">
    <w:name w:val="No Spacing"/>
    <w:uiPriority w:val="1"/>
    <w:qFormat/>
    <w:rsid w:val="001B6008"/>
    <w:pPr>
      <w:jc w:val="left"/>
    </w:pPr>
    <w:rPr>
      <w:rFonts w:ascii="Calibri" w:eastAsia="Calibri" w:hAnsi="Calibri" w:cs="Calibri"/>
      <w:sz w:val="22"/>
      <w:szCs w:val="22"/>
    </w:rPr>
  </w:style>
  <w:style w:type="paragraph" w:styleId="af">
    <w:name w:val="List Paragraph"/>
    <w:basedOn w:val="a"/>
    <w:uiPriority w:val="34"/>
    <w:qFormat/>
    <w:rsid w:val="00CB30CC"/>
    <w:pPr>
      <w:ind w:left="720"/>
      <w:contextualSpacing/>
    </w:pPr>
  </w:style>
  <w:style w:type="character" w:customStyle="1" w:styleId="40">
    <w:name w:val="Заголовок 4 Знак"/>
    <w:basedOn w:val="a0"/>
    <w:link w:val="4"/>
    <w:uiPriority w:val="99"/>
    <w:semiHidden/>
    <w:rsid w:val="00153C10"/>
    <w:rPr>
      <w:rFonts w:asciiTheme="majorHAnsi" w:eastAsiaTheme="majorEastAsia" w:hAnsiTheme="majorHAnsi" w:cstheme="majorBidi"/>
      <w:i/>
      <w:iCs/>
      <w:color w:val="365F91" w:themeColor="accent1" w:themeShade="BF"/>
      <w:sz w:val="24"/>
      <w:szCs w:val="24"/>
      <w:lang w:eastAsia="ru-RU"/>
    </w:rPr>
  </w:style>
  <w:style w:type="character" w:customStyle="1" w:styleId="ConsPlusNormal0">
    <w:name w:val="ConsPlusNormal Знак"/>
    <w:link w:val="ConsPlusNormal"/>
    <w:locked/>
    <w:rsid w:val="003659CF"/>
    <w:rPr>
      <w:rFonts w:eastAsia="Times New Roman" w:cs="Times New Roman"/>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8"/>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84B"/>
    <w:pPr>
      <w:jc w:val="left"/>
    </w:pPr>
    <w:rPr>
      <w:rFonts w:eastAsia="Times New Roman" w:cs="Times New Roman"/>
      <w:sz w:val="24"/>
      <w:szCs w:val="24"/>
      <w:lang w:eastAsia="ru-RU"/>
    </w:rPr>
  </w:style>
  <w:style w:type="paragraph" w:styleId="1">
    <w:name w:val="heading 1"/>
    <w:basedOn w:val="a"/>
    <w:next w:val="a"/>
    <w:link w:val="10"/>
    <w:uiPriority w:val="9"/>
    <w:qFormat/>
    <w:rsid w:val="00B921A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4">
    <w:name w:val="heading 4"/>
    <w:basedOn w:val="a"/>
    <w:next w:val="a"/>
    <w:link w:val="40"/>
    <w:uiPriority w:val="9"/>
    <w:semiHidden/>
    <w:unhideWhenUsed/>
    <w:qFormat/>
    <w:rsid w:val="00153C10"/>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58284B"/>
    <w:pPr>
      <w:overflowPunct w:val="0"/>
      <w:autoSpaceDE w:val="0"/>
      <w:autoSpaceDN w:val="0"/>
      <w:adjustRightInd w:val="0"/>
      <w:jc w:val="center"/>
      <w:textAlignment w:val="baseline"/>
    </w:pPr>
    <w:rPr>
      <w:b/>
      <w:sz w:val="28"/>
      <w:szCs w:val="20"/>
    </w:rPr>
  </w:style>
  <w:style w:type="paragraph" w:styleId="a4">
    <w:name w:val="Balloon Text"/>
    <w:basedOn w:val="a"/>
    <w:link w:val="a5"/>
    <w:uiPriority w:val="99"/>
    <w:semiHidden/>
    <w:unhideWhenUsed/>
    <w:rsid w:val="0058284B"/>
    <w:rPr>
      <w:rFonts w:ascii="Tahoma" w:hAnsi="Tahoma" w:cs="Tahoma"/>
      <w:sz w:val="16"/>
      <w:szCs w:val="16"/>
    </w:rPr>
  </w:style>
  <w:style w:type="character" w:customStyle="1" w:styleId="a5">
    <w:name w:val="Текст выноски Знак"/>
    <w:basedOn w:val="a0"/>
    <w:link w:val="a4"/>
    <w:uiPriority w:val="99"/>
    <w:semiHidden/>
    <w:rsid w:val="0058284B"/>
    <w:rPr>
      <w:rFonts w:ascii="Tahoma" w:eastAsia="Times New Roman" w:hAnsi="Tahoma" w:cs="Tahoma"/>
      <w:sz w:val="16"/>
      <w:szCs w:val="16"/>
      <w:lang w:eastAsia="ru-RU"/>
    </w:rPr>
  </w:style>
  <w:style w:type="paragraph" w:customStyle="1" w:styleId="ConsPlusNormal">
    <w:name w:val="ConsPlusNormal"/>
    <w:link w:val="ConsPlusNormal0"/>
    <w:rsid w:val="0058284B"/>
    <w:pPr>
      <w:widowControl w:val="0"/>
      <w:autoSpaceDE w:val="0"/>
      <w:autoSpaceDN w:val="0"/>
      <w:jc w:val="left"/>
    </w:pPr>
    <w:rPr>
      <w:rFonts w:eastAsia="Times New Roman" w:cs="Times New Roman"/>
      <w:szCs w:val="20"/>
      <w:lang w:eastAsia="ru-RU"/>
    </w:rPr>
  </w:style>
  <w:style w:type="paragraph" w:customStyle="1" w:styleId="ConsPlusTitle">
    <w:name w:val="ConsPlusTitle"/>
    <w:rsid w:val="0058284B"/>
    <w:pPr>
      <w:widowControl w:val="0"/>
      <w:autoSpaceDE w:val="0"/>
      <w:autoSpaceDN w:val="0"/>
      <w:jc w:val="left"/>
    </w:pPr>
    <w:rPr>
      <w:rFonts w:eastAsia="Times New Roman" w:cs="Times New Roman"/>
      <w:b/>
      <w:szCs w:val="20"/>
      <w:lang w:eastAsia="ru-RU"/>
    </w:rPr>
  </w:style>
  <w:style w:type="paragraph" w:customStyle="1" w:styleId="ConsPlusNonformat">
    <w:name w:val="ConsPlusNonformat"/>
    <w:rsid w:val="0058284B"/>
    <w:pPr>
      <w:widowControl w:val="0"/>
      <w:autoSpaceDE w:val="0"/>
      <w:autoSpaceDN w:val="0"/>
      <w:jc w:val="left"/>
    </w:pPr>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B921AA"/>
    <w:rPr>
      <w:rFonts w:asciiTheme="majorHAnsi" w:eastAsiaTheme="majorEastAsia" w:hAnsiTheme="majorHAnsi" w:cstheme="majorBidi"/>
      <w:color w:val="365F91" w:themeColor="accent1" w:themeShade="BF"/>
      <w:sz w:val="32"/>
      <w:szCs w:val="32"/>
      <w:lang w:eastAsia="ru-RU"/>
    </w:rPr>
  </w:style>
  <w:style w:type="paragraph" w:styleId="a6">
    <w:name w:val="TOC Heading"/>
    <w:basedOn w:val="1"/>
    <w:next w:val="a"/>
    <w:uiPriority w:val="39"/>
    <w:unhideWhenUsed/>
    <w:qFormat/>
    <w:rsid w:val="00B921AA"/>
    <w:pPr>
      <w:spacing w:line="259" w:lineRule="auto"/>
      <w:outlineLvl w:val="9"/>
    </w:pPr>
  </w:style>
  <w:style w:type="paragraph" w:styleId="11">
    <w:name w:val="toc 1"/>
    <w:basedOn w:val="a"/>
    <w:next w:val="a"/>
    <w:autoRedefine/>
    <w:uiPriority w:val="39"/>
    <w:unhideWhenUsed/>
    <w:rsid w:val="00B921AA"/>
    <w:pPr>
      <w:spacing w:after="100"/>
    </w:pPr>
  </w:style>
  <w:style w:type="paragraph" w:styleId="2">
    <w:name w:val="toc 2"/>
    <w:basedOn w:val="a"/>
    <w:next w:val="a"/>
    <w:autoRedefine/>
    <w:uiPriority w:val="39"/>
    <w:unhideWhenUsed/>
    <w:rsid w:val="00B921AA"/>
    <w:pPr>
      <w:spacing w:after="100"/>
      <w:ind w:left="240"/>
    </w:pPr>
  </w:style>
  <w:style w:type="paragraph" w:styleId="3">
    <w:name w:val="toc 3"/>
    <w:basedOn w:val="a"/>
    <w:next w:val="a"/>
    <w:autoRedefine/>
    <w:uiPriority w:val="39"/>
    <w:unhideWhenUsed/>
    <w:rsid w:val="00B921AA"/>
    <w:pPr>
      <w:spacing w:after="100"/>
      <w:ind w:left="480"/>
    </w:pPr>
  </w:style>
  <w:style w:type="character" w:styleId="a7">
    <w:name w:val="Hyperlink"/>
    <w:basedOn w:val="a0"/>
    <w:uiPriority w:val="99"/>
    <w:unhideWhenUsed/>
    <w:rsid w:val="00B921AA"/>
    <w:rPr>
      <w:color w:val="0000FF" w:themeColor="hyperlink"/>
      <w:u w:val="single"/>
    </w:rPr>
  </w:style>
  <w:style w:type="paragraph" w:styleId="a8">
    <w:name w:val="header"/>
    <w:basedOn w:val="a"/>
    <w:link w:val="a9"/>
    <w:uiPriority w:val="99"/>
    <w:unhideWhenUsed/>
    <w:rsid w:val="00AC60CB"/>
    <w:pPr>
      <w:tabs>
        <w:tab w:val="center" w:pos="4677"/>
        <w:tab w:val="right" w:pos="9355"/>
      </w:tabs>
    </w:pPr>
  </w:style>
  <w:style w:type="character" w:customStyle="1" w:styleId="a9">
    <w:name w:val="Верхний колонтитул Знак"/>
    <w:basedOn w:val="a0"/>
    <w:link w:val="a8"/>
    <w:uiPriority w:val="99"/>
    <w:rsid w:val="00AC60CB"/>
    <w:rPr>
      <w:rFonts w:eastAsia="Times New Roman" w:cs="Times New Roman"/>
      <w:sz w:val="24"/>
      <w:szCs w:val="24"/>
      <w:lang w:eastAsia="ru-RU"/>
    </w:rPr>
  </w:style>
  <w:style w:type="paragraph" w:styleId="aa">
    <w:name w:val="footer"/>
    <w:basedOn w:val="a"/>
    <w:link w:val="ab"/>
    <w:uiPriority w:val="99"/>
    <w:unhideWhenUsed/>
    <w:rsid w:val="00AC60CB"/>
    <w:pPr>
      <w:tabs>
        <w:tab w:val="center" w:pos="4677"/>
        <w:tab w:val="right" w:pos="9355"/>
      </w:tabs>
    </w:pPr>
  </w:style>
  <w:style w:type="character" w:customStyle="1" w:styleId="ab">
    <w:name w:val="Нижний колонтитул Знак"/>
    <w:basedOn w:val="a0"/>
    <w:link w:val="aa"/>
    <w:uiPriority w:val="99"/>
    <w:rsid w:val="00AC60CB"/>
    <w:rPr>
      <w:rFonts w:eastAsia="Times New Roman" w:cs="Times New Roman"/>
      <w:sz w:val="24"/>
      <w:szCs w:val="24"/>
      <w:lang w:eastAsia="ru-RU"/>
    </w:rPr>
  </w:style>
  <w:style w:type="table" w:styleId="ac">
    <w:name w:val="Table Grid"/>
    <w:basedOn w:val="a1"/>
    <w:uiPriority w:val="59"/>
    <w:rsid w:val="00C550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basedOn w:val="a"/>
    <w:uiPriority w:val="99"/>
    <w:unhideWhenUsed/>
    <w:rsid w:val="00F21B6F"/>
    <w:pPr>
      <w:spacing w:before="100" w:beforeAutospacing="1" w:after="100" w:afterAutospacing="1"/>
    </w:pPr>
  </w:style>
  <w:style w:type="paragraph" w:styleId="ae">
    <w:name w:val="No Spacing"/>
    <w:uiPriority w:val="1"/>
    <w:qFormat/>
    <w:rsid w:val="001B6008"/>
    <w:pPr>
      <w:jc w:val="left"/>
    </w:pPr>
    <w:rPr>
      <w:rFonts w:ascii="Calibri" w:eastAsia="Calibri" w:hAnsi="Calibri" w:cs="Calibri"/>
      <w:sz w:val="22"/>
      <w:szCs w:val="22"/>
    </w:rPr>
  </w:style>
  <w:style w:type="paragraph" w:styleId="af">
    <w:name w:val="List Paragraph"/>
    <w:basedOn w:val="a"/>
    <w:uiPriority w:val="34"/>
    <w:qFormat/>
    <w:rsid w:val="00CB30CC"/>
    <w:pPr>
      <w:ind w:left="720"/>
      <w:contextualSpacing/>
    </w:pPr>
  </w:style>
  <w:style w:type="character" w:customStyle="1" w:styleId="40">
    <w:name w:val="Заголовок 4 Знак"/>
    <w:basedOn w:val="a0"/>
    <w:link w:val="4"/>
    <w:uiPriority w:val="99"/>
    <w:semiHidden/>
    <w:rsid w:val="00153C10"/>
    <w:rPr>
      <w:rFonts w:asciiTheme="majorHAnsi" w:eastAsiaTheme="majorEastAsia" w:hAnsiTheme="majorHAnsi" w:cstheme="majorBidi"/>
      <w:i/>
      <w:iCs/>
      <w:color w:val="365F91" w:themeColor="accent1" w:themeShade="BF"/>
      <w:sz w:val="24"/>
      <w:szCs w:val="24"/>
      <w:lang w:eastAsia="ru-RU"/>
    </w:rPr>
  </w:style>
  <w:style w:type="character" w:customStyle="1" w:styleId="ConsPlusNormal0">
    <w:name w:val="ConsPlusNormal Знак"/>
    <w:link w:val="ConsPlusNormal"/>
    <w:locked/>
    <w:rsid w:val="003659CF"/>
    <w:rPr>
      <w:rFonts w:eastAsia="Times New Roman" w:cs="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121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B18A25E8D15733CFCF2B8FDBECD2CCD024DF1C2B2BC7B5D0C2CBB7F8B9B7F4E2233774AA8B9C87882350148AV7s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F5864-994C-4F67-B05C-FFD4D57CC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547</Words>
  <Characters>3124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Экономика</cp:lastModifiedBy>
  <cp:revision>4</cp:revision>
  <cp:lastPrinted>2024-04-08T06:16:00Z</cp:lastPrinted>
  <dcterms:created xsi:type="dcterms:W3CDTF">2024-04-03T11:38:00Z</dcterms:created>
  <dcterms:modified xsi:type="dcterms:W3CDTF">2024-04-08T06:16:00Z</dcterms:modified>
</cp:coreProperties>
</file>